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BD36D" w14:textId="77777777" w:rsidR="00C76929" w:rsidRDefault="00C76929" w:rsidP="00C76929">
      <w:pPr>
        <w:spacing w:line="335" w:lineRule="atLeast"/>
        <w:ind w:left="-709"/>
        <w:jc w:val="both"/>
        <w:rPr>
          <w:b/>
          <w:color w:val="000000"/>
          <w:sz w:val="72"/>
          <w:szCs w:val="72"/>
        </w:rPr>
      </w:pPr>
      <w:bookmarkStart w:id="0" w:name="_GoBack"/>
      <w:bookmarkEnd w:id="0"/>
    </w:p>
    <w:p w14:paraId="71DAA355" w14:textId="77777777" w:rsidR="00C76929" w:rsidRDefault="00C76929" w:rsidP="00C76929">
      <w:pPr>
        <w:spacing w:line="335" w:lineRule="atLeast"/>
        <w:jc w:val="both"/>
        <w:rPr>
          <w:b/>
          <w:color w:val="000000"/>
          <w:sz w:val="72"/>
          <w:szCs w:val="72"/>
        </w:rPr>
      </w:pPr>
    </w:p>
    <w:p w14:paraId="6BB8F08F" w14:textId="77777777" w:rsidR="00C76929" w:rsidRDefault="00C76929" w:rsidP="00C76929">
      <w:pPr>
        <w:tabs>
          <w:tab w:val="left" w:pos="1970"/>
        </w:tabs>
        <w:spacing w:line="335" w:lineRule="atLeast"/>
        <w:jc w:val="both"/>
        <w:rPr>
          <w:b/>
          <w:color w:val="000000"/>
          <w:sz w:val="72"/>
          <w:szCs w:val="72"/>
        </w:rPr>
      </w:pPr>
      <w:r>
        <w:rPr>
          <w:b/>
          <w:color w:val="000000"/>
          <w:sz w:val="72"/>
          <w:szCs w:val="72"/>
        </w:rPr>
        <w:tab/>
      </w:r>
    </w:p>
    <w:p w14:paraId="30F18161" w14:textId="77777777" w:rsidR="00C76929" w:rsidRPr="008F7738" w:rsidRDefault="008F7738" w:rsidP="00C76929">
      <w:pPr>
        <w:spacing w:line="335" w:lineRule="atLeast"/>
        <w:jc w:val="center"/>
        <w:rPr>
          <w:b/>
          <w:sz w:val="72"/>
          <w:szCs w:val="72"/>
        </w:rPr>
      </w:pPr>
      <w:r w:rsidRPr="008F7738">
        <w:rPr>
          <w:b/>
          <w:sz w:val="72"/>
          <w:szCs w:val="72"/>
        </w:rPr>
        <w:t xml:space="preserve">Consent </w:t>
      </w:r>
    </w:p>
    <w:p w14:paraId="3BFD4194" w14:textId="77777777" w:rsidR="008F7738" w:rsidRPr="008F7738" w:rsidRDefault="008F7738" w:rsidP="00C76929">
      <w:pPr>
        <w:spacing w:line="335" w:lineRule="atLeast"/>
        <w:jc w:val="center"/>
        <w:rPr>
          <w:b/>
          <w:sz w:val="72"/>
          <w:szCs w:val="72"/>
        </w:rPr>
      </w:pPr>
      <w:r w:rsidRPr="008F7738">
        <w:rPr>
          <w:b/>
          <w:sz w:val="72"/>
          <w:szCs w:val="72"/>
        </w:rPr>
        <w:t>Procedure</w:t>
      </w:r>
    </w:p>
    <w:p w14:paraId="7DC98E59" w14:textId="77777777" w:rsidR="00142418" w:rsidRPr="00F978F2" w:rsidRDefault="00214F82" w:rsidP="00C76929">
      <w:pPr>
        <w:spacing w:line="335" w:lineRule="atLeast"/>
        <w:jc w:val="center"/>
        <w:rPr>
          <w:b/>
          <w:color w:val="000000"/>
          <w:sz w:val="72"/>
          <w:szCs w:val="72"/>
        </w:rPr>
      </w:pPr>
      <w:r>
        <w:rPr>
          <w:b/>
          <w:color w:val="000000"/>
          <w:sz w:val="72"/>
          <w:szCs w:val="72"/>
        </w:rPr>
        <w:t>2021-24</w:t>
      </w:r>
    </w:p>
    <w:p w14:paraId="3866E664" w14:textId="77777777" w:rsidR="00C76929" w:rsidRDefault="00C76929" w:rsidP="00C76929">
      <w:pPr>
        <w:tabs>
          <w:tab w:val="left" w:pos="1708"/>
        </w:tabs>
        <w:spacing w:line="335" w:lineRule="atLeast"/>
        <w:jc w:val="both"/>
        <w:rPr>
          <w:b/>
          <w:color w:val="000000"/>
          <w:sz w:val="56"/>
          <w:szCs w:val="56"/>
        </w:rPr>
      </w:pPr>
      <w:r>
        <w:rPr>
          <w:b/>
          <w:color w:val="000000"/>
          <w:sz w:val="56"/>
          <w:szCs w:val="56"/>
        </w:rPr>
        <w:tab/>
      </w:r>
    </w:p>
    <w:p w14:paraId="5EA1601F" w14:textId="77777777" w:rsidR="00C76929" w:rsidRDefault="00C76929" w:rsidP="00C76929">
      <w:pPr>
        <w:tabs>
          <w:tab w:val="left" w:pos="1708"/>
        </w:tabs>
        <w:spacing w:line="335" w:lineRule="atLeast"/>
        <w:jc w:val="both"/>
        <w:rPr>
          <w:b/>
          <w:color w:val="000000"/>
          <w:sz w:val="56"/>
          <w:szCs w:val="56"/>
        </w:rPr>
      </w:pPr>
    </w:p>
    <w:p w14:paraId="6FF15E46" w14:textId="77777777" w:rsidR="00C76929" w:rsidRDefault="00C76929" w:rsidP="00C76929">
      <w:pPr>
        <w:tabs>
          <w:tab w:val="left" w:pos="1708"/>
        </w:tabs>
        <w:spacing w:line="335" w:lineRule="atLeast"/>
        <w:jc w:val="both"/>
        <w:rPr>
          <w:b/>
          <w:color w:val="000000"/>
          <w:sz w:val="56"/>
          <w:szCs w:val="56"/>
        </w:rPr>
      </w:pPr>
    </w:p>
    <w:p w14:paraId="19BA9B8B" w14:textId="77777777" w:rsidR="00C76929" w:rsidRDefault="00C76929" w:rsidP="00C76929">
      <w:pPr>
        <w:tabs>
          <w:tab w:val="left" w:pos="1708"/>
        </w:tabs>
        <w:spacing w:line="335" w:lineRule="atLeast"/>
        <w:jc w:val="both"/>
        <w:rPr>
          <w:b/>
          <w:color w:val="000000"/>
          <w:sz w:val="56"/>
          <w:szCs w:val="56"/>
        </w:rPr>
      </w:pPr>
    </w:p>
    <w:tbl>
      <w:tblPr>
        <w:tblStyle w:val="TableGrid"/>
        <w:tblW w:w="9464" w:type="dxa"/>
        <w:tblLook w:val="04A0" w:firstRow="1" w:lastRow="0" w:firstColumn="1" w:lastColumn="0" w:noHBand="0" w:noVBand="1"/>
      </w:tblPr>
      <w:tblGrid>
        <w:gridCol w:w="2802"/>
        <w:gridCol w:w="6662"/>
      </w:tblGrid>
      <w:tr w:rsidR="00C76929" w:rsidRPr="00E763B3" w14:paraId="274391C2" w14:textId="77777777" w:rsidTr="00521A92">
        <w:trPr>
          <w:trHeight w:hRule="exact" w:val="429"/>
        </w:trPr>
        <w:tc>
          <w:tcPr>
            <w:tcW w:w="2802" w:type="dxa"/>
            <w:shd w:val="clear" w:color="auto" w:fill="BFBFBF" w:themeFill="background1" w:themeFillShade="BF"/>
            <w:vAlign w:val="center"/>
          </w:tcPr>
          <w:p w14:paraId="26EDDD91" w14:textId="77777777" w:rsidR="00C76929" w:rsidRPr="00521A92" w:rsidRDefault="00C76929" w:rsidP="00521A92">
            <w:pPr>
              <w:rPr>
                <w:rFonts w:asciiTheme="minorHAnsi" w:hAnsiTheme="minorHAnsi"/>
                <w:sz w:val="28"/>
                <w:szCs w:val="28"/>
              </w:rPr>
            </w:pPr>
            <w:r w:rsidRPr="00521A92">
              <w:rPr>
                <w:rFonts w:asciiTheme="minorHAnsi" w:hAnsiTheme="minorHAnsi"/>
                <w:sz w:val="28"/>
                <w:szCs w:val="28"/>
              </w:rPr>
              <w:t>Title</w:t>
            </w:r>
          </w:p>
        </w:tc>
        <w:tc>
          <w:tcPr>
            <w:tcW w:w="6662" w:type="dxa"/>
            <w:vAlign w:val="center"/>
          </w:tcPr>
          <w:p w14:paraId="0E59D4C0" w14:textId="77777777" w:rsidR="00C76929" w:rsidRPr="00214F82" w:rsidRDefault="008F7738" w:rsidP="00521A92">
            <w:pPr>
              <w:rPr>
                <w:rFonts w:asciiTheme="minorHAnsi" w:hAnsiTheme="minorHAnsi" w:cs="Arial"/>
                <w:sz w:val="28"/>
                <w:szCs w:val="28"/>
              </w:rPr>
            </w:pPr>
            <w:r w:rsidRPr="00214F82">
              <w:rPr>
                <w:rFonts w:asciiTheme="minorHAnsi" w:hAnsiTheme="minorHAnsi" w:cs="Arial"/>
                <w:sz w:val="28"/>
                <w:szCs w:val="28"/>
              </w:rPr>
              <w:t>Consent Procedure</w:t>
            </w:r>
          </w:p>
        </w:tc>
      </w:tr>
      <w:tr w:rsidR="00C76929" w:rsidRPr="00E763B3" w14:paraId="4ACFD54A" w14:textId="77777777" w:rsidTr="00521A92">
        <w:trPr>
          <w:trHeight w:hRule="exact" w:val="454"/>
        </w:trPr>
        <w:tc>
          <w:tcPr>
            <w:tcW w:w="2802" w:type="dxa"/>
            <w:shd w:val="clear" w:color="auto" w:fill="BFBFBF" w:themeFill="background1" w:themeFillShade="BF"/>
            <w:vAlign w:val="center"/>
          </w:tcPr>
          <w:p w14:paraId="663B884E" w14:textId="77777777" w:rsidR="00C76929" w:rsidRPr="00521A92" w:rsidRDefault="00C76929" w:rsidP="00521A92">
            <w:pPr>
              <w:rPr>
                <w:rFonts w:asciiTheme="minorHAnsi" w:hAnsiTheme="minorHAnsi" w:cs="Arial"/>
                <w:sz w:val="28"/>
                <w:szCs w:val="28"/>
              </w:rPr>
            </w:pPr>
            <w:r w:rsidRPr="00521A92">
              <w:rPr>
                <w:rFonts w:asciiTheme="minorHAnsi" w:hAnsiTheme="minorHAnsi" w:cs="Arial"/>
                <w:sz w:val="28"/>
                <w:szCs w:val="28"/>
              </w:rPr>
              <w:t>Status</w:t>
            </w:r>
          </w:p>
        </w:tc>
        <w:tc>
          <w:tcPr>
            <w:tcW w:w="6662" w:type="dxa"/>
            <w:vAlign w:val="center"/>
          </w:tcPr>
          <w:p w14:paraId="14E90775" w14:textId="77777777" w:rsidR="00C76929" w:rsidRPr="00214F82" w:rsidRDefault="00214F82" w:rsidP="00521A92">
            <w:pPr>
              <w:rPr>
                <w:rFonts w:asciiTheme="minorHAnsi" w:hAnsiTheme="minorHAnsi" w:cs="Arial"/>
                <w:sz w:val="28"/>
                <w:szCs w:val="28"/>
              </w:rPr>
            </w:pPr>
            <w:r w:rsidRPr="00214F82">
              <w:rPr>
                <w:rFonts w:asciiTheme="minorHAnsi" w:hAnsiTheme="minorHAnsi" w:cs="Arial"/>
                <w:sz w:val="28"/>
                <w:szCs w:val="28"/>
              </w:rPr>
              <w:t>Approved</w:t>
            </w:r>
          </w:p>
        </w:tc>
      </w:tr>
      <w:tr w:rsidR="00C76929" w:rsidRPr="00E763B3" w14:paraId="5A810D3B" w14:textId="77777777" w:rsidTr="00521A92">
        <w:trPr>
          <w:trHeight w:hRule="exact" w:val="454"/>
        </w:trPr>
        <w:tc>
          <w:tcPr>
            <w:tcW w:w="2802" w:type="dxa"/>
            <w:shd w:val="clear" w:color="auto" w:fill="BFBFBF" w:themeFill="background1" w:themeFillShade="BF"/>
            <w:vAlign w:val="center"/>
          </w:tcPr>
          <w:p w14:paraId="22366428" w14:textId="77777777" w:rsidR="00C76929" w:rsidRPr="00521A92" w:rsidRDefault="00C76929" w:rsidP="00521A92">
            <w:pPr>
              <w:rPr>
                <w:rFonts w:asciiTheme="minorHAnsi" w:hAnsiTheme="minorHAnsi" w:cs="Arial"/>
                <w:sz w:val="28"/>
                <w:szCs w:val="28"/>
              </w:rPr>
            </w:pPr>
            <w:r w:rsidRPr="00521A92">
              <w:rPr>
                <w:rFonts w:asciiTheme="minorHAnsi" w:hAnsiTheme="minorHAnsi" w:cs="Arial"/>
                <w:sz w:val="28"/>
                <w:szCs w:val="28"/>
              </w:rPr>
              <w:t>Version</w:t>
            </w:r>
          </w:p>
        </w:tc>
        <w:tc>
          <w:tcPr>
            <w:tcW w:w="6662" w:type="dxa"/>
            <w:vAlign w:val="center"/>
          </w:tcPr>
          <w:p w14:paraId="1BAD1811" w14:textId="77777777" w:rsidR="00C76929" w:rsidRPr="00214F82" w:rsidRDefault="006709D6" w:rsidP="00521A92">
            <w:pPr>
              <w:rPr>
                <w:rFonts w:asciiTheme="minorHAnsi" w:hAnsiTheme="minorHAnsi" w:cs="Arial"/>
                <w:sz w:val="28"/>
                <w:szCs w:val="28"/>
              </w:rPr>
            </w:pPr>
            <w:r w:rsidRPr="00214F82">
              <w:rPr>
                <w:rFonts w:asciiTheme="minorHAnsi" w:hAnsiTheme="minorHAnsi" w:cs="Arial"/>
                <w:sz w:val="28"/>
                <w:szCs w:val="28"/>
              </w:rPr>
              <w:t>V1.0</w:t>
            </w:r>
          </w:p>
        </w:tc>
      </w:tr>
      <w:tr w:rsidR="00C76929" w:rsidRPr="00E763B3" w14:paraId="04ABC443" w14:textId="77777777" w:rsidTr="00521A92">
        <w:trPr>
          <w:trHeight w:hRule="exact" w:val="454"/>
        </w:trPr>
        <w:tc>
          <w:tcPr>
            <w:tcW w:w="2802" w:type="dxa"/>
            <w:shd w:val="clear" w:color="auto" w:fill="BFBFBF" w:themeFill="background1" w:themeFillShade="BF"/>
            <w:vAlign w:val="center"/>
          </w:tcPr>
          <w:p w14:paraId="23E56E19" w14:textId="77777777" w:rsidR="00C76929" w:rsidRPr="00521A92" w:rsidRDefault="00C76929" w:rsidP="00521A92">
            <w:pPr>
              <w:rPr>
                <w:rFonts w:asciiTheme="minorHAnsi" w:hAnsiTheme="minorHAnsi" w:cs="Arial"/>
                <w:sz w:val="28"/>
                <w:szCs w:val="28"/>
              </w:rPr>
            </w:pPr>
            <w:r w:rsidRPr="00521A92">
              <w:rPr>
                <w:rFonts w:asciiTheme="minorHAnsi" w:hAnsiTheme="minorHAnsi" w:cs="Arial"/>
                <w:sz w:val="28"/>
                <w:szCs w:val="28"/>
              </w:rPr>
              <w:t>Date Approved</w:t>
            </w:r>
          </w:p>
        </w:tc>
        <w:tc>
          <w:tcPr>
            <w:tcW w:w="6662" w:type="dxa"/>
            <w:vAlign w:val="center"/>
          </w:tcPr>
          <w:p w14:paraId="33BD6A82" w14:textId="77777777" w:rsidR="00C76929" w:rsidRPr="00214F82" w:rsidRDefault="005A62A8" w:rsidP="00521A92">
            <w:pPr>
              <w:rPr>
                <w:rFonts w:asciiTheme="minorHAnsi" w:hAnsiTheme="minorHAnsi" w:cs="Arial"/>
                <w:sz w:val="28"/>
                <w:szCs w:val="28"/>
              </w:rPr>
            </w:pPr>
            <w:r w:rsidRPr="00214F82">
              <w:rPr>
                <w:rFonts w:asciiTheme="minorHAnsi" w:hAnsiTheme="minorHAnsi" w:cs="Arial"/>
                <w:sz w:val="28"/>
                <w:szCs w:val="28"/>
              </w:rPr>
              <w:t>7</w:t>
            </w:r>
            <w:r w:rsidRPr="00214F82">
              <w:rPr>
                <w:rFonts w:asciiTheme="minorHAnsi" w:hAnsiTheme="minorHAnsi" w:cs="Arial"/>
                <w:sz w:val="28"/>
                <w:szCs w:val="28"/>
                <w:vertAlign w:val="superscript"/>
              </w:rPr>
              <w:t>th</w:t>
            </w:r>
            <w:r w:rsidRPr="00214F82">
              <w:rPr>
                <w:rFonts w:asciiTheme="minorHAnsi" w:hAnsiTheme="minorHAnsi" w:cs="Arial"/>
                <w:sz w:val="28"/>
                <w:szCs w:val="28"/>
              </w:rPr>
              <w:t xml:space="preserve"> January 2021</w:t>
            </w:r>
          </w:p>
        </w:tc>
      </w:tr>
      <w:tr w:rsidR="00C76929" w:rsidRPr="00E763B3" w14:paraId="00BE140B" w14:textId="77777777" w:rsidTr="00521A92">
        <w:trPr>
          <w:trHeight w:hRule="exact" w:val="454"/>
        </w:trPr>
        <w:tc>
          <w:tcPr>
            <w:tcW w:w="2802" w:type="dxa"/>
            <w:shd w:val="clear" w:color="auto" w:fill="BFBFBF" w:themeFill="background1" w:themeFillShade="BF"/>
            <w:vAlign w:val="center"/>
          </w:tcPr>
          <w:p w14:paraId="4C94F94F" w14:textId="77777777" w:rsidR="00C76929" w:rsidRPr="00521A92" w:rsidRDefault="00C76929" w:rsidP="00521A92">
            <w:pPr>
              <w:rPr>
                <w:rFonts w:asciiTheme="minorHAnsi" w:hAnsiTheme="minorHAnsi" w:cs="Arial"/>
                <w:sz w:val="28"/>
                <w:szCs w:val="28"/>
              </w:rPr>
            </w:pPr>
            <w:r w:rsidRPr="00521A92">
              <w:rPr>
                <w:rFonts w:asciiTheme="minorHAnsi" w:hAnsiTheme="minorHAnsi" w:cs="Arial"/>
                <w:sz w:val="28"/>
                <w:szCs w:val="28"/>
              </w:rPr>
              <w:t>Review Date</w:t>
            </w:r>
          </w:p>
        </w:tc>
        <w:tc>
          <w:tcPr>
            <w:tcW w:w="6662" w:type="dxa"/>
            <w:vAlign w:val="center"/>
          </w:tcPr>
          <w:p w14:paraId="0A2D23AB" w14:textId="77777777" w:rsidR="00C76929" w:rsidRPr="00214F82" w:rsidRDefault="005A62A8" w:rsidP="00521A92">
            <w:pPr>
              <w:rPr>
                <w:rFonts w:asciiTheme="minorHAnsi" w:hAnsiTheme="minorHAnsi" w:cs="Arial"/>
                <w:sz w:val="28"/>
                <w:szCs w:val="28"/>
              </w:rPr>
            </w:pPr>
            <w:r w:rsidRPr="00214F82">
              <w:rPr>
                <w:rFonts w:asciiTheme="minorHAnsi" w:hAnsiTheme="minorHAnsi" w:cs="Arial"/>
                <w:sz w:val="28"/>
                <w:szCs w:val="28"/>
              </w:rPr>
              <w:t>September 202</w:t>
            </w:r>
            <w:r w:rsidR="00214F82" w:rsidRPr="00214F82">
              <w:rPr>
                <w:rFonts w:asciiTheme="minorHAnsi" w:hAnsiTheme="minorHAnsi" w:cs="Arial"/>
                <w:sz w:val="28"/>
                <w:szCs w:val="28"/>
              </w:rPr>
              <w:t>4</w:t>
            </w:r>
          </w:p>
        </w:tc>
      </w:tr>
    </w:tbl>
    <w:p w14:paraId="171390F6" w14:textId="77777777" w:rsidR="00D977ED" w:rsidRDefault="00D977ED">
      <w:pPr>
        <w:spacing w:after="160" w:line="259" w:lineRule="auto"/>
        <w:rPr>
          <w:b/>
          <w:color w:val="000000"/>
        </w:rPr>
        <w:sectPr w:rsidR="00D977ED" w:rsidSect="00494A56">
          <w:headerReference w:type="default" r:id="rId11"/>
          <w:footerReference w:type="default" r:id="rId12"/>
          <w:pgSz w:w="11906" w:h="16838"/>
          <w:pgMar w:top="1440" w:right="1440" w:bottom="1440" w:left="1440" w:header="708" w:footer="708" w:gutter="0"/>
          <w:cols w:space="708"/>
          <w:docGrid w:linePitch="360"/>
        </w:sectPr>
      </w:pPr>
    </w:p>
    <w:p w14:paraId="64ACF23A" w14:textId="77777777" w:rsidR="00521A92" w:rsidRDefault="00521A92">
      <w:pPr>
        <w:spacing w:after="160" w:line="259" w:lineRule="auto"/>
        <w:rPr>
          <w:b/>
          <w:color w:val="000000"/>
        </w:rPr>
      </w:pPr>
    </w:p>
    <w:bookmarkStart w:id="1" w:name="_Toc335504656" w:displacedByCustomXml="next"/>
    <w:sdt>
      <w:sdtPr>
        <w:rPr>
          <w:rFonts w:ascii="Arial" w:eastAsia="Calibri" w:hAnsi="Arial" w:cs="Arial"/>
          <w:b/>
          <w:bCs w:val="0"/>
          <w:color w:val="auto"/>
          <w:sz w:val="24"/>
          <w:szCs w:val="24"/>
          <w:lang w:val="en-GB" w:eastAsia="en-US"/>
        </w:rPr>
        <w:id w:val="-1538814214"/>
        <w:docPartObj>
          <w:docPartGallery w:val="Table of Contents"/>
          <w:docPartUnique/>
        </w:docPartObj>
      </w:sdtPr>
      <w:sdtEndPr>
        <w:rPr>
          <w:b w:val="0"/>
          <w:noProof/>
        </w:rPr>
      </w:sdtEndPr>
      <w:sdtContent>
        <w:p w14:paraId="59D57DA3" w14:textId="77777777" w:rsidR="00C76929" w:rsidRPr="00A24858" w:rsidRDefault="00C76929" w:rsidP="00C76929">
          <w:pPr>
            <w:pStyle w:val="TOCHeading"/>
            <w:jc w:val="both"/>
            <w:rPr>
              <w:rFonts w:ascii="Arial" w:hAnsi="Arial" w:cs="Arial"/>
              <w:color w:val="auto"/>
            </w:rPr>
          </w:pPr>
          <w:r w:rsidRPr="00A24858">
            <w:rPr>
              <w:rFonts w:ascii="Arial" w:hAnsi="Arial" w:cs="Arial"/>
              <w:color w:val="auto"/>
            </w:rPr>
            <w:t>Contents</w:t>
          </w:r>
        </w:p>
        <w:p w14:paraId="6E41C136" w14:textId="77777777" w:rsidR="00C76929" w:rsidRPr="00A24858" w:rsidRDefault="00C76929" w:rsidP="00C76929">
          <w:pPr>
            <w:jc w:val="both"/>
            <w:rPr>
              <w:lang w:val="en-US" w:eastAsia="ja-JP"/>
            </w:rPr>
          </w:pPr>
        </w:p>
        <w:p w14:paraId="6B9E1D24" w14:textId="0DF6DA0F" w:rsidR="00722D00" w:rsidRDefault="00C76929">
          <w:pPr>
            <w:pStyle w:val="TOC1"/>
            <w:tabs>
              <w:tab w:val="left" w:pos="851"/>
            </w:tabs>
            <w:rPr>
              <w:rFonts w:asciiTheme="minorHAnsi" w:eastAsiaTheme="minorEastAsia" w:hAnsiTheme="minorHAnsi" w:cstheme="minorBidi"/>
              <w:sz w:val="22"/>
              <w:szCs w:val="22"/>
            </w:rPr>
          </w:pPr>
          <w:r w:rsidRPr="00A24858">
            <w:rPr>
              <w:rFonts w:cs="Arial"/>
            </w:rPr>
            <w:fldChar w:fldCharType="begin"/>
          </w:r>
          <w:r w:rsidRPr="00A24858">
            <w:rPr>
              <w:rFonts w:cs="Arial"/>
            </w:rPr>
            <w:instrText xml:space="preserve"> TOC \o "1-3" \h \z \u </w:instrText>
          </w:r>
          <w:r w:rsidRPr="00A24858">
            <w:rPr>
              <w:rFonts w:cs="Arial"/>
            </w:rPr>
            <w:fldChar w:fldCharType="separate"/>
          </w:r>
          <w:hyperlink w:anchor="_Toc4420702" w:history="1">
            <w:r w:rsidR="00722D00" w:rsidRPr="001B639C">
              <w:rPr>
                <w:rStyle w:val="Hyperlink"/>
                <w:rFonts w:eastAsia="Calibri"/>
              </w:rPr>
              <w:t>1.</w:t>
            </w:r>
            <w:r w:rsidR="00722D00">
              <w:rPr>
                <w:rFonts w:asciiTheme="minorHAnsi" w:eastAsiaTheme="minorEastAsia" w:hAnsiTheme="minorHAnsi" w:cstheme="minorBidi"/>
                <w:sz w:val="22"/>
                <w:szCs w:val="22"/>
              </w:rPr>
              <w:tab/>
            </w:r>
            <w:r w:rsidR="00722D00" w:rsidRPr="001B639C">
              <w:rPr>
                <w:rStyle w:val="Hyperlink"/>
                <w:rFonts w:eastAsia="Calibri"/>
              </w:rPr>
              <w:t>Introduction</w:t>
            </w:r>
            <w:r w:rsidR="00722D00">
              <w:rPr>
                <w:webHidden/>
              </w:rPr>
              <w:tab/>
            </w:r>
            <w:r w:rsidR="00722D00">
              <w:rPr>
                <w:webHidden/>
              </w:rPr>
              <w:fldChar w:fldCharType="begin"/>
            </w:r>
            <w:r w:rsidR="00722D00">
              <w:rPr>
                <w:webHidden/>
              </w:rPr>
              <w:instrText xml:space="preserve"> PAGEREF _Toc4420702 \h </w:instrText>
            </w:r>
            <w:r w:rsidR="00722D00">
              <w:rPr>
                <w:webHidden/>
              </w:rPr>
            </w:r>
            <w:r w:rsidR="00722D00">
              <w:rPr>
                <w:webHidden/>
              </w:rPr>
              <w:fldChar w:fldCharType="separate"/>
            </w:r>
            <w:r w:rsidR="007039AC">
              <w:rPr>
                <w:webHidden/>
              </w:rPr>
              <w:t>3</w:t>
            </w:r>
            <w:r w:rsidR="00722D00">
              <w:rPr>
                <w:webHidden/>
              </w:rPr>
              <w:fldChar w:fldCharType="end"/>
            </w:r>
          </w:hyperlink>
        </w:p>
        <w:p w14:paraId="2BD0D6E8" w14:textId="53999894" w:rsidR="00722D00" w:rsidRDefault="002E0F53">
          <w:pPr>
            <w:pStyle w:val="TOC1"/>
            <w:tabs>
              <w:tab w:val="left" w:pos="851"/>
            </w:tabs>
            <w:rPr>
              <w:rFonts w:asciiTheme="minorHAnsi" w:eastAsiaTheme="minorEastAsia" w:hAnsiTheme="minorHAnsi" w:cstheme="minorBidi"/>
              <w:sz w:val="22"/>
              <w:szCs w:val="22"/>
            </w:rPr>
          </w:pPr>
          <w:hyperlink w:anchor="_Toc4420703" w:history="1">
            <w:r w:rsidR="00722D00" w:rsidRPr="001B639C">
              <w:rPr>
                <w:rStyle w:val="Hyperlink"/>
                <w:rFonts w:eastAsia="Calibri"/>
              </w:rPr>
              <w:t>2.</w:t>
            </w:r>
            <w:r w:rsidR="00722D00">
              <w:rPr>
                <w:rFonts w:asciiTheme="minorHAnsi" w:eastAsiaTheme="minorEastAsia" w:hAnsiTheme="minorHAnsi" w:cstheme="minorBidi"/>
                <w:sz w:val="22"/>
                <w:szCs w:val="22"/>
              </w:rPr>
              <w:tab/>
            </w:r>
            <w:r w:rsidR="00722D00" w:rsidRPr="001B639C">
              <w:rPr>
                <w:rStyle w:val="Hyperlink"/>
                <w:rFonts w:eastAsia="Calibri"/>
              </w:rPr>
              <w:t>Quick Guide</w:t>
            </w:r>
            <w:r w:rsidR="00722D00">
              <w:rPr>
                <w:webHidden/>
              </w:rPr>
              <w:tab/>
            </w:r>
            <w:r w:rsidR="00722D00">
              <w:rPr>
                <w:webHidden/>
              </w:rPr>
              <w:fldChar w:fldCharType="begin"/>
            </w:r>
            <w:r w:rsidR="00722D00">
              <w:rPr>
                <w:webHidden/>
              </w:rPr>
              <w:instrText xml:space="preserve"> PAGEREF _Toc4420703 \h </w:instrText>
            </w:r>
            <w:r w:rsidR="00722D00">
              <w:rPr>
                <w:webHidden/>
              </w:rPr>
            </w:r>
            <w:r w:rsidR="00722D00">
              <w:rPr>
                <w:webHidden/>
              </w:rPr>
              <w:fldChar w:fldCharType="separate"/>
            </w:r>
            <w:r w:rsidR="007039AC">
              <w:rPr>
                <w:webHidden/>
              </w:rPr>
              <w:t>3</w:t>
            </w:r>
            <w:r w:rsidR="00722D00">
              <w:rPr>
                <w:webHidden/>
              </w:rPr>
              <w:fldChar w:fldCharType="end"/>
            </w:r>
          </w:hyperlink>
        </w:p>
        <w:p w14:paraId="05D13A42" w14:textId="1DCB8B8C" w:rsidR="00722D00" w:rsidRDefault="002E0F53">
          <w:pPr>
            <w:pStyle w:val="TOC1"/>
            <w:tabs>
              <w:tab w:val="left" w:pos="851"/>
            </w:tabs>
            <w:rPr>
              <w:rFonts w:asciiTheme="minorHAnsi" w:eastAsiaTheme="minorEastAsia" w:hAnsiTheme="minorHAnsi" w:cstheme="minorBidi"/>
              <w:sz w:val="22"/>
              <w:szCs w:val="22"/>
            </w:rPr>
          </w:pPr>
          <w:hyperlink w:anchor="_Toc4420704" w:history="1">
            <w:r w:rsidR="00722D00" w:rsidRPr="001B639C">
              <w:rPr>
                <w:rStyle w:val="Hyperlink"/>
                <w:rFonts w:eastAsia="Calibri"/>
              </w:rPr>
              <w:t>3.</w:t>
            </w:r>
            <w:r w:rsidR="00722D00">
              <w:rPr>
                <w:rFonts w:asciiTheme="minorHAnsi" w:eastAsiaTheme="minorEastAsia" w:hAnsiTheme="minorHAnsi" w:cstheme="minorBidi"/>
                <w:sz w:val="22"/>
                <w:szCs w:val="22"/>
              </w:rPr>
              <w:tab/>
            </w:r>
            <w:r w:rsidR="00722D00" w:rsidRPr="001B639C">
              <w:rPr>
                <w:rStyle w:val="Hyperlink"/>
                <w:rFonts w:eastAsia="Calibri"/>
              </w:rPr>
              <w:t>Policy References</w:t>
            </w:r>
            <w:r w:rsidR="00722D00">
              <w:rPr>
                <w:webHidden/>
              </w:rPr>
              <w:tab/>
            </w:r>
            <w:r w:rsidR="00722D00">
              <w:rPr>
                <w:webHidden/>
              </w:rPr>
              <w:fldChar w:fldCharType="begin"/>
            </w:r>
            <w:r w:rsidR="00722D00">
              <w:rPr>
                <w:webHidden/>
              </w:rPr>
              <w:instrText xml:space="preserve"> PAGEREF _Toc4420704 \h </w:instrText>
            </w:r>
            <w:r w:rsidR="00722D00">
              <w:rPr>
                <w:webHidden/>
              </w:rPr>
            </w:r>
            <w:r w:rsidR="00722D00">
              <w:rPr>
                <w:webHidden/>
              </w:rPr>
              <w:fldChar w:fldCharType="separate"/>
            </w:r>
            <w:r w:rsidR="007039AC">
              <w:rPr>
                <w:webHidden/>
              </w:rPr>
              <w:t>3</w:t>
            </w:r>
            <w:r w:rsidR="00722D00">
              <w:rPr>
                <w:webHidden/>
              </w:rPr>
              <w:fldChar w:fldCharType="end"/>
            </w:r>
          </w:hyperlink>
        </w:p>
        <w:p w14:paraId="46B49D64" w14:textId="58C9692F" w:rsidR="00722D00" w:rsidRDefault="002E0F53">
          <w:pPr>
            <w:pStyle w:val="TOC1"/>
            <w:tabs>
              <w:tab w:val="left" w:pos="851"/>
            </w:tabs>
            <w:rPr>
              <w:rFonts w:asciiTheme="minorHAnsi" w:eastAsiaTheme="minorEastAsia" w:hAnsiTheme="minorHAnsi" w:cstheme="minorBidi"/>
              <w:sz w:val="22"/>
              <w:szCs w:val="22"/>
            </w:rPr>
          </w:pPr>
          <w:hyperlink w:anchor="_Toc4420705" w:history="1">
            <w:r w:rsidR="00722D00" w:rsidRPr="001B639C">
              <w:rPr>
                <w:rStyle w:val="Hyperlink"/>
                <w:rFonts w:eastAsia="Calibri"/>
              </w:rPr>
              <w:t>4.</w:t>
            </w:r>
            <w:r w:rsidR="00722D00">
              <w:rPr>
                <w:rFonts w:asciiTheme="minorHAnsi" w:eastAsiaTheme="minorEastAsia" w:hAnsiTheme="minorHAnsi" w:cstheme="minorBidi"/>
                <w:sz w:val="22"/>
                <w:szCs w:val="22"/>
              </w:rPr>
              <w:tab/>
            </w:r>
            <w:r w:rsidR="00722D00" w:rsidRPr="001B639C">
              <w:rPr>
                <w:rStyle w:val="Hyperlink"/>
                <w:rFonts w:eastAsia="Calibri"/>
              </w:rPr>
              <w:t>Consent Procedure</w:t>
            </w:r>
            <w:r w:rsidR="00722D00">
              <w:rPr>
                <w:webHidden/>
              </w:rPr>
              <w:tab/>
            </w:r>
            <w:r w:rsidR="00722D00">
              <w:rPr>
                <w:webHidden/>
              </w:rPr>
              <w:fldChar w:fldCharType="begin"/>
            </w:r>
            <w:r w:rsidR="00722D00">
              <w:rPr>
                <w:webHidden/>
              </w:rPr>
              <w:instrText xml:space="preserve"> PAGEREF _Toc4420705 \h </w:instrText>
            </w:r>
            <w:r w:rsidR="00722D00">
              <w:rPr>
                <w:webHidden/>
              </w:rPr>
            </w:r>
            <w:r w:rsidR="00722D00">
              <w:rPr>
                <w:webHidden/>
              </w:rPr>
              <w:fldChar w:fldCharType="separate"/>
            </w:r>
            <w:r w:rsidR="007039AC">
              <w:rPr>
                <w:webHidden/>
              </w:rPr>
              <w:t>3</w:t>
            </w:r>
            <w:r w:rsidR="00722D00">
              <w:rPr>
                <w:webHidden/>
              </w:rPr>
              <w:fldChar w:fldCharType="end"/>
            </w:r>
          </w:hyperlink>
        </w:p>
        <w:p w14:paraId="1A06CDA3" w14:textId="27AD47DE" w:rsidR="00722D00" w:rsidRDefault="002E0F53">
          <w:pPr>
            <w:pStyle w:val="TOC1"/>
            <w:tabs>
              <w:tab w:val="left" w:pos="851"/>
            </w:tabs>
            <w:rPr>
              <w:rFonts w:asciiTheme="minorHAnsi" w:eastAsiaTheme="minorEastAsia" w:hAnsiTheme="minorHAnsi" w:cstheme="minorBidi"/>
              <w:sz w:val="22"/>
              <w:szCs w:val="22"/>
            </w:rPr>
          </w:pPr>
          <w:hyperlink w:anchor="_Toc4420706" w:history="1">
            <w:r w:rsidR="00722D00" w:rsidRPr="001B639C">
              <w:rPr>
                <w:rStyle w:val="Hyperlink"/>
                <w:rFonts w:eastAsia="Calibri"/>
              </w:rPr>
              <w:t>5.</w:t>
            </w:r>
            <w:r w:rsidR="00722D00">
              <w:rPr>
                <w:rFonts w:asciiTheme="minorHAnsi" w:eastAsiaTheme="minorEastAsia" w:hAnsiTheme="minorHAnsi" w:cstheme="minorBidi"/>
                <w:sz w:val="22"/>
                <w:szCs w:val="22"/>
              </w:rPr>
              <w:tab/>
            </w:r>
            <w:r w:rsidR="00722D00" w:rsidRPr="001B639C">
              <w:rPr>
                <w:rStyle w:val="Hyperlink"/>
                <w:rFonts w:eastAsia="Calibri"/>
              </w:rPr>
              <w:t>Advice and Support</w:t>
            </w:r>
            <w:r w:rsidR="00722D00">
              <w:rPr>
                <w:webHidden/>
              </w:rPr>
              <w:tab/>
            </w:r>
            <w:r w:rsidR="00722D00">
              <w:rPr>
                <w:webHidden/>
              </w:rPr>
              <w:fldChar w:fldCharType="begin"/>
            </w:r>
            <w:r w:rsidR="00722D00">
              <w:rPr>
                <w:webHidden/>
              </w:rPr>
              <w:instrText xml:space="preserve"> PAGEREF _Toc4420706 \h </w:instrText>
            </w:r>
            <w:r w:rsidR="00722D00">
              <w:rPr>
                <w:webHidden/>
              </w:rPr>
            </w:r>
            <w:r w:rsidR="00722D00">
              <w:rPr>
                <w:webHidden/>
              </w:rPr>
              <w:fldChar w:fldCharType="separate"/>
            </w:r>
            <w:r w:rsidR="007039AC">
              <w:rPr>
                <w:webHidden/>
              </w:rPr>
              <w:t>5</w:t>
            </w:r>
            <w:r w:rsidR="00722D00">
              <w:rPr>
                <w:webHidden/>
              </w:rPr>
              <w:fldChar w:fldCharType="end"/>
            </w:r>
          </w:hyperlink>
        </w:p>
        <w:p w14:paraId="120BA48F" w14:textId="5E484F0D" w:rsidR="00722D00" w:rsidRDefault="002E0F53">
          <w:pPr>
            <w:pStyle w:val="TOC1"/>
            <w:tabs>
              <w:tab w:val="left" w:pos="851"/>
            </w:tabs>
            <w:rPr>
              <w:rFonts w:asciiTheme="minorHAnsi" w:eastAsiaTheme="minorEastAsia" w:hAnsiTheme="minorHAnsi" w:cstheme="minorBidi"/>
              <w:sz w:val="22"/>
              <w:szCs w:val="22"/>
            </w:rPr>
          </w:pPr>
          <w:hyperlink w:anchor="_Toc4420707" w:history="1">
            <w:r w:rsidR="00722D00" w:rsidRPr="001B639C">
              <w:rPr>
                <w:rStyle w:val="Hyperlink"/>
                <w:rFonts w:eastAsia="Calibri"/>
              </w:rPr>
              <w:t>6.</w:t>
            </w:r>
            <w:r w:rsidR="00722D00">
              <w:rPr>
                <w:rFonts w:asciiTheme="minorHAnsi" w:eastAsiaTheme="minorEastAsia" w:hAnsiTheme="minorHAnsi" w:cstheme="minorBidi"/>
                <w:sz w:val="22"/>
                <w:szCs w:val="22"/>
              </w:rPr>
              <w:tab/>
            </w:r>
            <w:r w:rsidR="00722D00" w:rsidRPr="001B639C">
              <w:rPr>
                <w:rStyle w:val="Hyperlink"/>
                <w:rFonts w:eastAsia="Calibri"/>
              </w:rPr>
              <w:t>Breach Statement</w:t>
            </w:r>
            <w:r w:rsidR="00722D00">
              <w:rPr>
                <w:webHidden/>
              </w:rPr>
              <w:tab/>
            </w:r>
            <w:r w:rsidR="00722D00">
              <w:rPr>
                <w:webHidden/>
              </w:rPr>
              <w:fldChar w:fldCharType="begin"/>
            </w:r>
            <w:r w:rsidR="00722D00">
              <w:rPr>
                <w:webHidden/>
              </w:rPr>
              <w:instrText xml:space="preserve"> PAGEREF _Toc4420707 \h </w:instrText>
            </w:r>
            <w:r w:rsidR="00722D00">
              <w:rPr>
                <w:webHidden/>
              </w:rPr>
            </w:r>
            <w:r w:rsidR="00722D00">
              <w:rPr>
                <w:webHidden/>
              </w:rPr>
              <w:fldChar w:fldCharType="separate"/>
            </w:r>
            <w:r w:rsidR="007039AC">
              <w:rPr>
                <w:webHidden/>
              </w:rPr>
              <w:t>5</w:t>
            </w:r>
            <w:r w:rsidR="00722D00">
              <w:rPr>
                <w:webHidden/>
              </w:rPr>
              <w:fldChar w:fldCharType="end"/>
            </w:r>
          </w:hyperlink>
        </w:p>
        <w:p w14:paraId="63B4BA38" w14:textId="77777777" w:rsidR="00C76929" w:rsidRDefault="00C76929" w:rsidP="00C76929">
          <w:pPr>
            <w:jc w:val="both"/>
          </w:pPr>
          <w:r w:rsidRPr="00A24858">
            <w:rPr>
              <w:b/>
              <w:bCs/>
              <w:noProof/>
            </w:rPr>
            <w:fldChar w:fldCharType="end"/>
          </w:r>
        </w:p>
      </w:sdtContent>
    </w:sdt>
    <w:p w14:paraId="2758DFFF" w14:textId="77777777" w:rsidR="00C76929" w:rsidRDefault="00C76929" w:rsidP="00C76929">
      <w:pPr>
        <w:spacing w:after="0" w:line="240" w:lineRule="auto"/>
        <w:jc w:val="both"/>
      </w:pPr>
    </w:p>
    <w:p w14:paraId="1795F176" w14:textId="77777777" w:rsidR="00C76929" w:rsidRDefault="00C76929" w:rsidP="00C76929">
      <w:pPr>
        <w:spacing w:after="0" w:line="240" w:lineRule="auto"/>
        <w:jc w:val="both"/>
        <w:rPr>
          <w:b/>
          <w:bCs/>
          <w:kern w:val="32"/>
        </w:rPr>
      </w:pPr>
      <w:r>
        <w:br w:type="page"/>
      </w:r>
    </w:p>
    <w:p w14:paraId="6E5CFBB4" w14:textId="77777777" w:rsidR="00A81783" w:rsidRDefault="00142418" w:rsidP="009264C8">
      <w:pPr>
        <w:pStyle w:val="Heading1"/>
        <w:numPr>
          <w:ilvl w:val="0"/>
          <w:numId w:val="11"/>
        </w:numPr>
      </w:pPr>
      <w:bookmarkStart w:id="2" w:name="_Toc4420702"/>
      <w:bookmarkEnd w:id="1"/>
      <w:r w:rsidRPr="00142418">
        <w:lastRenderedPageBreak/>
        <w:t>Introduction</w:t>
      </w:r>
      <w:bookmarkEnd w:id="2"/>
    </w:p>
    <w:p w14:paraId="00311F4E" w14:textId="77777777" w:rsidR="00722D00" w:rsidRPr="00722D00" w:rsidRDefault="00722D00" w:rsidP="00722D00"/>
    <w:p w14:paraId="778AB100" w14:textId="77777777" w:rsidR="00D62E9D" w:rsidRDefault="00042AE4" w:rsidP="00722D00">
      <w:pPr>
        <w:pStyle w:val="ListParagraph"/>
        <w:numPr>
          <w:ilvl w:val="1"/>
          <w:numId w:val="11"/>
        </w:numPr>
      </w:pPr>
      <w:r>
        <w:t>This procedure i</w:t>
      </w:r>
      <w:r w:rsidR="00722D00">
        <w:t>s intended to support the organisation when relying on consent as the legal basis for processing.</w:t>
      </w:r>
    </w:p>
    <w:p w14:paraId="1EB539A6" w14:textId="77777777" w:rsidR="00D62E9D" w:rsidRDefault="00D62E9D" w:rsidP="00D62E9D">
      <w:pPr>
        <w:pStyle w:val="Heading1"/>
        <w:numPr>
          <w:ilvl w:val="0"/>
          <w:numId w:val="11"/>
        </w:numPr>
      </w:pPr>
      <w:bookmarkStart w:id="3" w:name="_Toc4420703"/>
      <w:r>
        <w:t>Quick Guide</w:t>
      </w:r>
      <w:bookmarkEnd w:id="3"/>
    </w:p>
    <w:p w14:paraId="297165B4" w14:textId="77777777" w:rsidR="00D62E9D" w:rsidRDefault="00042AE4" w:rsidP="00042AE4">
      <w:pPr>
        <w:pStyle w:val="ListParagraph"/>
        <w:numPr>
          <w:ilvl w:val="0"/>
          <w:numId w:val="13"/>
        </w:numPr>
      </w:pPr>
      <w:r>
        <w:t>Only use consent as your legal basis where no other legal basis is appropriate</w:t>
      </w:r>
    </w:p>
    <w:p w14:paraId="7E578068" w14:textId="77777777" w:rsidR="00042AE4" w:rsidRDefault="00042AE4" w:rsidP="00042AE4">
      <w:pPr>
        <w:pStyle w:val="ListParagraph"/>
        <w:numPr>
          <w:ilvl w:val="0"/>
          <w:numId w:val="13"/>
        </w:numPr>
      </w:pPr>
      <w:r>
        <w:t>Ensure that you have a specific consent form for each use of personal data</w:t>
      </w:r>
    </w:p>
    <w:p w14:paraId="7DE603B3" w14:textId="77777777" w:rsidR="00042AE4" w:rsidRDefault="00042AE4" w:rsidP="00042AE4">
      <w:pPr>
        <w:pStyle w:val="ListParagraph"/>
        <w:numPr>
          <w:ilvl w:val="0"/>
          <w:numId w:val="13"/>
        </w:numPr>
      </w:pPr>
      <w:r>
        <w:t>Ensure all consent forms carry a hyperlink to your online privacy notice</w:t>
      </w:r>
    </w:p>
    <w:p w14:paraId="7C28D5D9" w14:textId="77777777" w:rsidR="00042AE4" w:rsidRDefault="00042AE4" w:rsidP="00042AE4">
      <w:pPr>
        <w:pStyle w:val="ListParagraph"/>
        <w:numPr>
          <w:ilvl w:val="0"/>
          <w:numId w:val="13"/>
        </w:numPr>
      </w:pPr>
      <w:r>
        <w:t>Ensure that your privacy notice references the use of personal data you are seeking consent for</w:t>
      </w:r>
    </w:p>
    <w:p w14:paraId="45A0CE5B" w14:textId="77777777" w:rsidR="00042AE4" w:rsidRDefault="00042AE4" w:rsidP="00042AE4">
      <w:pPr>
        <w:pStyle w:val="ListParagraph"/>
        <w:numPr>
          <w:ilvl w:val="0"/>
          <w:numId w:val="13"/>
        </w:numPr>
      </w:pPr>
      <w:r>
        <w:t>Retain the consent forms on the relevant file</w:t>
      </w:r>
    </w:p>
    <w:p w14:paraId="451961E2" w14:textId="77777777" w:rsidR="00042AE4" w:rsidRDefault="00042AE4" w:rsidP="00042AE4">
      <w:pPr>
        <w:pStyle w:val="ListParagraph"/>
        <w:numPr>
          <w:ilvl w:val="0"/>
          <w:numId w:val="13"/>
        </w:numPr>
      </w:pPr>
      <w:r>
        <w:t>Carefully consider how often you need to refresh the consent – this will be based on the sensitivity of the personal data you are collecting and its proposed use</w:t>
      </w:r>
    </w:p>
    <w:p w14:paraId="79CCF95C" w14:textId="77777777" w:rsidR="00042AE4" w:rsidRDefault="00042AE4" w:rsidP="00042AE4">
      <w:pPr>
        <w:pStyle w:val="ListParagraph"/>
        <w:numPr>
          <w:ilvl w:val="0"/>
          <w:numId w:val="13"/>
        </w:numPr>
      </w:pPr>
      <w:r>
        <w:t>If the processing is high risk ensure you have completed a Data Protection Impact Assessment</w:t>
      </w:r>
    </w:p>
    <w:p w14:paraId="47872B98" w14:textId="77777777" w:rsidR="00042AE4" w:rsidRDefault="00042AE4" w:rsidP="00042AE4">
      <w:pPr>
        <w:pStyle w:val="ListParagraph"/>
        <w:numPr>
          <w:ilvl w:val="0"/>
          <w:numId w:val="13"/>
        </w:numPr>
      </w:pPr>
      <w:r>
        <w:t>Make sure it is as easy to withdraw consent as it is to give consent</w:t>
      </w:r>
    </w:p>
    <w:p w14:paraId="27A032B9" w14:textId="77777777" w:rsidR="009264C8" w:rsidRDefault="00A81783" w:rsidP="009264C8">
      <w:pPr>
        <w:pStyle w:val="Heading1"/>
        <w:numPr>
          <w:ilvl w:val="0"/>
          <w:numId w:val="11"/>
        </w:numPr>
      </w:pPr>
      <w:bookmarkStart w:id="4" w:name="_Toc4420704"/>
      <w:r>
        <w:t>Policy References</w:t>
      </w:r>
      <w:bookmarkEnd w:id="4"/>
    </w:p>
    <w:p w14:paraId="47C6A824" w14:textId="77777777" w:rsidR="008E1D6C" w:rsidRDefault="008E1D6C" w:rsidP="008E1D6C"/>
    <w:p w14:paraId="2B2D4B1D" w14:textId="77777777" w:rsidR="008E1D6C" w:rsidRPr="008E1D6C" w:rsidRDefault="008E1D6C" w:rsidP="008E1D6C">
      <w:pPr>
        <w:pStyle w:val="ListParagraph"/>
        <w:numPr>
          <w:ilvl w:val="1"/>
          <w:numId w:val="11"/>
        </w:numPr>
      </w:pPr>
      <w:r w:rsidRPr="008E1D6C">
        <w:t xml:space="preserve">This procedure is </w:t>
      </w:r>
      <w:r w:rsidR="00886297">
        <w:t xml:space="preserve">a </w:t>
      </w:r>
      <w:r w:rsidRPr="008E1D6C">
        <w:t>requirement of the following policies:</w:t>
      </w:r>
    </w:p>
    <w:p w14:paraId="03A76FCE" w14:textId="77777777" w:rsidR="008E1D6C" w:rsidRDefault="008E1D6C" w:rsidP="008E1D6C">
      <w:pPr>
        <w:pStyle w:val="ListParagraph"/>
        <w:ind w:left="792"/>
      </w:pPr>
    </w:p>
    <w:p w14:paraId="4978E443" w14:textId="77777777" w:rsidR="008E1D6C" w:rsidRPr="00CE493C" w:rsidRDefault="00CE493C" w:rsidP="008E1D6C">
      <w:pPr>
        <w:pStyle w:val="ListParagraph"/>
        <w:numPr>
          <w:ilvl w:val="0"/>
          <w:numId w:val="12"/>
        </w:numPr>
      </w:pPr>
      <w:r w:rsidRPr="00CE493C">
        <w:t>Data Protection Policy</w:t>
      </w:r>
    </w:p>
    <w:p w14:paraId="3DD9C18C" w14:textId="77777777" w:rsidR="00D224A8" w:rsidRPr="00CE493C" w:rsidRDefault="00CE493C" w:rsidP="009264C8">
      <w:pPr>
        <w:pStyle w:val="Heading1"/>
        <w:numPr>
          <w:ilvl w:val="0"/>
          <w:numId w:val="11"/>
        </w:numPr>
      </w:pPr>
      <w:bookmarkStart w:id="5" w:name="_Toc4420705"/>
      <w:r w:rsidRPr="00CE493C">
        <w:t>Consent Procedure</w:t>
      </w:r>
      <w:bookmarkEnd w:id="5"/>
    </w:p>
    <w:p w14:paraId="65E2DE37" w14:textId="77777777" w:rsidR="00D224A8" w:rsidRDefault="00D224A8" w:rsidP="00D224A8"/>
    <w:p w14:paraId="4B73D353" w14:textId="77777777" w:rsidR="00CE493C" w:rsidRDefault="00CE493C" w:rsidP="00CE493C">
      <w:pPr>
        <w:pStyle w:val="ListParagraph"/>
        <w:numPr>
          <w:ilvl w:val="1"/>
          <w:numId w:val="11"/>
        </w:numPr>
      </w:pPr>
      <w:r>
        <w:t>We are encouraged to not rely on consent. The public sector is deemed to have sufficient statutory powers to satisfy other conditions available under Data Protection law to justify processing personal data without the need to rely on consent. However, if activities requiring the processing of personal data are identified as valid but a legal condition cannot be applied other than consent then the following should be in place:</w:t>
      </w:r>
    </w:p>
    <w:p w14:paraId="357EEDD8" w14:textId="77777777" w:rsidR="00CE493C" w:rsidRDefault="00CE493C" w:rsidP="00CE493C">
      <w:pPr>
        <w:pStyle w:val="ListParagraph"/>
        <w:ind w:left="792"/>
      </w:pPr>
    </w:p>
    <w:p w14:paraId="61775760" w14:textId="77777777" w:rsidR="00D224A8" w:rsidRDefault="00CE493C" w:rsidP="00D224A8">
      <w:pPr>
        <w:pStyle w:val="ListParagraph"/>
        <w:numPr>
          <w:ilvl w:val="1"/>
          <w:numId w:val="11"/>
        </w:numPr>
      </w:pPr>
      <w:r>
        <w:t>A Privacy Impact Assessment should be undertaken to approve the use of consent for the proposed processing (A Data Protection Impact Assessment in the event of ‘high risk’ processing)</w:t>
      </w:r>
    </w:p>
    <w:p w14:paraId="3A5FEAE5" w14:textId="77777777" w:rsidR="00CE493C" w:rsidRDefault="00CE493C" w:rsidP="00CE493C">
      <w:pPr>
        <w:pStyle w:val="ListParagraph"/>
      </w:pPr>
    </w:p>
    <w:p w14:paraId="0CC3380C" w14:textId="77777777" w:rsidR="00242DA2" w:rsidRDefault="00CE493C" w:rsidP="00A17332">
      <w:pPr>
        <w:pStyle w:val="ListParagraph"/>
        <w:numPr>
          <w:ilvl w:val="1"/>
          <w:numId w:val="11"/>
        </w:numPr>
      </w:pPr>
      <w:r>
        <w:t xml:space="preserve">When obtaining the consent of the Data Subject, we will need to ensure that we have the </w:t>
      </w:r>
      <w:r w:rsidR="00242DA2">
        <w:t>capability to produce, on request, documented (and standalone) evidence that an individual has consented to the processing</w:t>
      </w:r>
      <w:r>
        <w:t>. Therefore</w:t>
      </w:r>
      <w:r w:rsidR="00DF3892">
        <w:t>,</w:t>
      </w:r>
      <w:r>
        <w:t xml:space="preserve"> </w:t>
      </w:r>
      <w:r>
        <w:lastRenderedPageBreak/>
        <w:t>consent must be recorded and the evidence retained as a record for as long as the data obtained through consent is being processed.</w:t>
      </w:r>
    </w:p>
    <w:p w14:paraId="3849EA91" w14:textId="77777777" w:rsidR="00CE493C" w:rsidRDefault="00CE493C" w:rsidP="00CE493C">
      <w:pPr>
        <w:pStyle w:val="ListParagraph"/>
      </w:pPr>
    </w:p>
    <w:p w14:paraId="06B89E16" w14:textId="77777777" w:rsidR="002A74A0" w:rsidRDefault="002A74A0" w:rsidP="00A17332">
      <w:pPr>
        <w:pStyle w:val="ListParagraph"/>
        <w:numPr>
          <w:ilvl w:val="1"/>
          <w:numId w:val="11"/>
        </w:numPr>
      </w:pPr>
      <w:r>
        <w:t xml:space="preserve">Consents will last for the duration of the Educational ‘Key Stage’ as a definition of a reasonable time period. Parents/ Guardians will be asked ahead of the end of a period to reconfirm their consent. If they do not respond then we must assume that they no longer wish to give consent. </w:t>
      </w:r>
    </w:p>
    <w:tbl>
      <w:tblPr>
        <w:tblW w:w="5964" w:type="dxa"/>
        <w:jc w:val="center"/>
        <w:tblBorders>
          <w:top w:val="outset" w:sz="36" w:space="0" w:color="auto"/>
          <w:left w:val="outset" w:sz="36" w:space="0" w:color="auto"/>
          <w:bottom w:val="outset" w:sz="36" w:space="0" w:color="auto"/>
          <w:right w:val="outset" w:sz="36" w:space="0" w:color="auto"/>
        </w:tblBorders>
        <w:tblCellMar>
          <w:left w:w="0" w:type="dxa"/>
          <w:right w:w="0" w:type="dxa"/>
        </w:tblCellMar>
        <w:tblLook w:val="04A0" w:firstRow="1" w:lastRow="0" w:firstColumn="1" w:lastColumn="0" w:noHBand="0" w:noVBand="1"/>
      </w:tblPr>
      <w:tblGrid>
        <w:gridCol w:w="1570"/>
        <w:gridCol w:w="992"/>
        <w:gridCol w:w="1701"/>
        <w:gridCol w:w="1701"/>
      </w:tblGrid>
      <w:tr w:rsidR="00301C4F" w:rsidRPr="00301C4F" w14:paraId="6365768A" w14:textId="77777777" w:rsidTr="00301C4F">
        <w:trPr>
          <w:jc w:val="center"/>
        </w:trPr>
        <w:tc>
          <w:tcPr>
            <w:tcW w:w="1570" w:type="dxa"/>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14:paraId="73956A8F" w14:textId="77777777" w:rsidR="00301C4F" w:rsidRPr="00301C4F" w:rsidRDefault="00301C4F" w:rsidP="00301C4F">
            <w:pPr>
              <w:spacing w:before="100" w:beforeAutospacing="1" w:after="100" w:afterAutospacing="1" w:line="240" w:lineRule="auto"/>
              <w:jc w:val="center"/>
              <w:rPr>
                <w:rFonts w:eastAsia="Times New Roman"/>
                <w:lang w:eastAsia="en-GB"/>
              </w:rPr>
            </w:pPr>
          </w:p>
        </w:tc>
        <w:tc>
          <w:tcPr>
            <w:tcW w:w="992" w:type="dxa"/>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14:paraId="4625F579" w14:textId="77777777" w:rsidR="00301C4F" w:rsidRPr="00301C4F" w:rsidRDefault="00301C4F" w:rsidP="00E36322">
            <w:pPr>
              <w:spacing w:before="100" w:beforeAutospacing="1" w:after="100" w:afterAutospacing="1" w:line="240" w:lineRule="auto"/>
              <w:jc w:val="center"/>
              <w:rPr>
                <w:rFonts w:eastAsia="Times New Roman"/>
                <w:lang w:eastAsia="en-GB"/>
              </w:rPr>
            </w:pPr>
            <w:r w:rsidRPr="00301C4F">
              <w:rPr>
                <w:rFonts w:eastAsia="Times New Roman"/>
                <w:b/>
                <w:bCs/>
                <w:lang w:eastAsia="en-GB"/>
              </w:rPr>
              <w:t>Key Stage </w:t>
            </w:r>
          </w:p>
        </w:tc>
        <w:tc>
          <w:tcPr>
            <w:tcW w:w="1701" w:type="dxa"/>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14:paraId="3946F0CF" w14:textId="77777777" w:rsidR="00301C4F" w:rsidRPr="00301C4F" w:rsidRDefault="00301C4F" w:rsidP="00E36322">
            <w:pPr>
              <w:spacing w:before="100" w:beforeAutospacing="1" w:after="100" w:afterAutospacing="1" w:line="240" w:lineRule="auto"/>
              <w:jc w:val="center"/>
              <w:rPr>
                <w:rFonts w:eastAsia="Times New Roman"/>
                <w:lang w:eastAsia="en-GB"/>
              </w:rPr>
            </w:pPr>
            <w:r w:rsidRPr="00301C4F">
              <w:rPr>
                <w:rFonts w:eastAsia="Times New Roman"/>
                <w:b/>
                <w:bCs/>
                <w:lang w:eastAsia="en-GB"/>
              </w:rPr>
              <w:t>Year Groups</w:t>
            </w:r>
          </w:p>
        </w:tc>
        <w:tc>
          <w:tcPr>
            <w:tcW w:w="1701" w:type="dxa"/>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tcPr>
          <w:p w14:paraId="71910478" w14:textId="77777777" w:rsidR="00301C4F" w:rsidRPr="00301C4F" w:rsidRDefault="00301C4F" w:rsidP="00E36322">
            <w:pPr>
              <w:spacing w:before="100" w:beforeAutospacing="1" w:after="100" w:afterAutospacing="1" w:line="240" w:lineRule="auto"/>
              <w:jc w:val="center"/>
              <w:rPr>
                <w:rFonts w:eastAsia="Times New Roman"/>
                <w:lang w:eastAsia="en-GB"/>
              </w:rPr>
            </w:pPr>
            <w:r w:rsidRPr="00301C4F">
              <w:rPr>
                <w:rFonts w:eastAsia="Times New Roman"/>
                <w:b/>
                <w:bCs/>
                <w:lang w:eastAsia="en-GB"/>
              </w:rPr>
              <w:t>Age of Children</w:t>
            </w:r>
          </w:p>
        </w:tc>
      </w:tr>
      <w:tr w:rsidR="00301C4F" w:rsidRPr="00301C4F" w14:paraId="239D81AF" w14:textId="77777777" w:rsidTr="00301C4F">
        <w:trPr>
          <w:jc w:val="center"/>
        </w:trPr>
        <w:tc>
          <w:tcPr>
            <w:tcW w:w="157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46816B37" w14:textId="77777777" w:rsidR="00301C4F" w:rsidRPr="00301C4F" w:rsidRDefault="00301C4F" w:rsidP="00301C4F">
            <w:pPr>
              <w:spacing w:before="100" w:beforeAutospacing="1" w:after="100" w:afterAutospacing="1" w:line="240" w:lineRule="auto"/>
              <w:jc w:val="center"/>
              <w:rPr>
                <w:rFonts w:eastAsia="Times New Roman"/>
                <w:lang w:eastAsia="en-GB"/>
              </w:rPr>
            </w:pPr>
            <w:r w:rsidRPr="00301C4F">
              <w:rPr>
                <w:rFonts w:eastAsia="Times New Roman"/>
                <w:b/>
                <w:bCs/>
                <w:lang w:eastAsia="en-GB"/>
              </w:rPr>
              <w:t>Primary</w:t>
            </w:r>
          </w:p>
        </w:tc>
        <w:tc>
          <w:tcPr>
            <w:tcW w:w="992" w:type="dxa"/>
            <w:tcBorders>
              <w:top w:val="outset" w:sz="6" w:space="0" w:color="auto"/>
              <w:left w:val="outset" w:sz="6" w:space="0" w:color="auto"/>
              <w:bottom w:val="outset" w:sz="6" w:space="0" w:color="auto"/>
              <w:right w:val="outset" w:sz="6" w:space="0" w:color="auto"/>
            </w:tcBorders>
            <w:vAlign w:val="center"/>
            <w:hideMark/>
          </w:tcPr>
          <w:p w14:paraId="6DFB0A13" w14:textId="77777777" w:rsidR="00301C4F" w:rsidRPr="00301C4F" w:rsidRDefault="00301C4F" w:rsidP="00301C4F">
            <w:pPr>
              <w:spacing w:before="100" w:beforeAutospacing="1" w:after="100" w:afterAutospacing="1" w:line="240" w:lineRule="auto"/>
              <w:jc w:val="center"/>
              <w:rPr>
                <w:rFonts w:eastAsia="Times New Roman"/>
                <w:lang w:eastAsia="en-GB"/>
              </w:rPr>
            </w:pPr>
            <w:r w:rsidRPr="00301C4F">
              <w:rPr>
                <w:rFonts w:eastAsia="Times New Roman"/>
                <w:lang w:eastAsia="en-GB"/>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2BE66B9" w14:textId="77777777" w:rsidR="00301C4F" w:rsidRPr="00301C4F" w:rsidRDefault="004064AC" w:rsidP="004064AC">
            <w:pPr>
              <w:spacing w:after="0" w:line="240" w:lineRule="auto"/>
              <w:jc w:val="center"/>
              <w:rPr>
                <w:rFonts w:eastAsia="Times New Roman"/>
                <w:lang w:eastAsia="en-GB"/>
              </w:rPr>
            </w:pPr>
            <w:r>
              <w:rPr>
                <w:rFonts w:eastAsia="Times New Roman"/>
                <w:lang w:eastAsia="en-GB"/>
              </w:rPr>
              <w:t>Reception,1,2</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D77AFBB" w14:textId="77777777" w:rsidR="00301C4F" w:rsidRPr="00301C4F" w:rsidRDefault="003F1B95" w:rsidP="00301C4F">
            <w:pPr>
              <w:spacing w:after="0" w:line="240" w:lineRule="auto"/>
              <w:jc w:val="center"/>
              <w:rPr>
                <w:rFonts w:eastAsia="Times New Roman"/>
                <w:lang w:eastAsia="en-GB"/>
              </w:rPr>
            </w:pPr>
            <w:r>
              <w:rPr>
                <w:rFonts w:eastAsia="Times New Roman"/>
                <w:lang w:eastAsia="en-GB"/>
              </w:rPr>
              <w:t>5-</w:t>
            </w:r>
            <w:r w:rsidR="00301C4F" w:rsidRPr="00301C4F">
              <w:rPr>
                <w:rFonts w:eastAsia="Times New Roman"/>
                <w:lang w:eastAsia="en-GB"/>
              </w:rPr>
              <w:t>7</w:t>
            </w:r>
          </w:p>
        </w:tc>
      </w:tr>
      <w:tr w:rsidR="00301C4F" w:rsidRPr="00301C4F" w14:paraId="70492335" w14:textId="77777777" w:rsidTr="00301C4F">
        <w:trPr>
          <w:jc w:val="center"/>
        </w:trPr>
        <w:tc>
          <w:tcPr>
            <w:tcW w:w="157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6C84EE03" w14:textId="77777777" w:rsidR="00301C4F" w:rsidRPr="00301C4F" w:rsidRDefault="00301C4F" w:rsidP="00301C4F">
            <w:pPr>
              <w:spacing w:before="100" w:beforeAutospacing="1" w:after="100" w:afterAutospacing="1" w:line="240" w:lineRule="auto"/>
              <w:jc w:val="center"/>
              <w:rPr>
                <w:rFonts w:eastAsia="Times New Roman"/>
                <w:lang w:eastAsia="en-GB"/>
              </w:rPr>
            </w:pPr>
            <w:r w:rsidRPr="00301C4F">
              <w:rPr>
                <w:rFonts w:eastAsia="Times New Roman"/>
                <w:b/>
                <w:bCs/>
                <w:lang w:eastAsia="en-GB"/>
              </w:rPr>
              <w:t>Primary</w:t>
            </w:r>
          </w:p>
        </w:tc>
        <w:tc>
          <w:tcPr>
            <w:tcW w:w="992" w:type="dxa"/>
            <w:tcBorders>
              <w:top w:val="outset" w:sz="6" w:space="0" w:color="auto"/>
              <w:left w:val="outset" w:sz="6" w:space="0" w:color="auto"/>
              <w:bottom w:val="outset" w:sz="6" w:space="0" w:color="auto"/>
              <w:right w:val="outset" w:sz="6" w:space="0" w:color="auto"/>
            </w:tcBorders>
            <w:vAlign w:val="center"/>
            <w:hideMark/>
          </w:tcPr>
          <w:p w14:paraId="42ABE851" w14:textId="77777777" w:rsidR="00301C4F" w:rsidRPr="00301C4F" w:rsidRDefault="00301C4F" w:rsidP="00301C4F">
            <w:pPr>
              <w:spacing w:before="100" w:beforeAutospacing="1" w:after="100" w:afterAutospacing="1" w:line="240" w:lineRule="auto"/>
              <w:jc w:val="center"/>
              <w:rPr>
                <w:rFonts w:eastAsia="Times New Roman"/>
                <w:lang w:eastAsia="en-GB"/>
              </w:rPr>
            </w:pPr>
            <w:r w:rsidRPr="00301C4F">
              <w:rPr>
                <w:rFonts w:eastAsia="Times New Roman"/>
                <w:lang w:eastAsia="en-GB"/>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7FC55BF" w14:textId="77777777" w:rsidR="00301C4F" w:rsidRPr="00301C4F" w:rsidRDefault="004064AC" w:rsidP="00301C4F">
            <w:pPr>
              <w:spacing w:after="0" w:line="240" w:lineRule="auto"/>
              <w:jc w:val="center"/>
              <w:rPr>
                <w:rFonts w:eastAsia="Times New Roman"/>
                <w:lang w:eastAsia="en-GB"/>
              </w:rPr>
            </w:pPr>
            <w:r>
              <w:rPr>
                <w:rFonts w:eastAsia="Times New Roman"/>
                <w:lang w:eastAsia="en-GB"/>
              </w:rPr>
              <w:t>3,4,5,</w:t>
            </w:r>
            <w:r w:rsidR="00301C4F" w:rsidRPr="00301C4F">
              <w:rPr>
                <w:rFonts w:eastAsia="Times New Roman"/>
                <w:lang w:eastAsia="en-GB"/>
              </w:rPr>
              <w:t>6</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67276ED" w14:textId="77777777" w:rsidR="00301C4F" w:rsidRPr="00301C4F" w:rsidRDefault="004064AC" w:rsidP="00301C4F">
            <w:pPr>
              <w:spacing w:after="0" w:line="240" w:lineRule="auto"/>
              <w:jc w:val="center"/>
              <w:rPr>
                <w:rFonts w:eastAsia="Times New Roman"/>
                <w:lang w:eastAsia="en-GB"/>
              </w:rPr>
            </w:pPr>
            <w:r>
              <w:rPr>
                <w:rFonts w:eastAsia="Times New Roman"/>
                <w:lang w:eastAsia="en-GB"/>
              </w:rPr>
              <w:t>7</w:t>
            </w:r>
            <w:r w:rsidR="003F1B95">
              <w:rPr>
                <w:rFonts w:eastAsia="Times New Roman"/>
                <w:lang w:eastAsia="en-GB"/>
              </w:rPr>
              <w:t>-</w:t>
            </w:r>
            <w:r w:rsidR="00301C4F" w:rsidRPr="00301C4F">
              <w:rPr>
                <w:rFonts w:eastAsia="Times New Roman"/>
                <w:lang w:eastAsia="en-GB"/>
              </w:rPr>
              <w:t>11</w:t>
            </w:r>
          </w:p>
        </w:tc>
      </w:tr>
      <w:tr w:rsidR="00301C4F" w:rsidRPr="00301C4F" w14:paraId="727A7310" w14:textId="77777777" w:rsidTr="00301C4F">
        <w:trPr>
          <w:jc w:val="center"/>
        </w:trPr>
        <w:tc>
          <w:tcPr>
            <w:tcW w:w="157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40D8A28A" w14:textId="77777777" w:rsidR="00301C4F" w:rsidRPr="00301C4F" w:rsidRDefault="00301C4F" w:rsidP="00301C4F">
            <w:pPr>
              <w:spacing w:before="100" w:beforeAutospacing="1" w:after="100" w:afterAutospacing="1" w:line="240" w:lineRule="auto"/>
              <w:jc w:val="center"/>
              <w:rPr>
                <w:rFonts w:eastAsia="Times New Roman"/>
                <w:lang w:eastAsia="en-GB"/>
              </w:rPr>
            </w:pPr>
            <w:r w:rsidRPr="00301C4F">
              <w:rPr>
                <w:rFonts w:eastAsia="Times New Roman"/>
                <w:b/>
                <w:bCs/>
                <w:lang w:eastAsia="en-GB"/>
              </w:rPr>
              <w:t>Secondary</w:t>
            </w:r>
          </w:p>
        </w:tc>
        <w:tc>
          <w:tcPr>
            <w:tcW w:w="992" w:type="dxa"/>
            <w:tcBorders>
              <w:top w:val="outset" w:sz="6" w:space="0" w:color="auto"/>
              <w:left w:val="outset" w:sz="6" w:space="0" w:color="auto"/>
              <w:bottom w:val="outset" w:sz="6" w:space="0" w:color="auto"/>
              <w:right w:val="outset" w:sz="6" w:space="0" w:color="auto"/>
            </w:tcBorders>
            <w:vAlign w:val="center"/>
            <w:hideMark/>
          </w:tcPr>
          <w:p w14:paraId="51E04C64" w14:textId="77777777" w:rsidR="00301C4F" w:rsidRPr="00301C4F" w:rsidRDefault="00301C4F" w:rsidP="00301C4F">
            <w:pPr>
              <w:spacing w:before="100" w:beforeAutospacing="1" w:after="100" w:afterAutospacing="1" w:line="240" w:lineRule="auto"/>
              <w:jc w:val="center"/>
              <w:rPr>
                <w:rFonts w:eastAsia="Times New Roman"/>
                <w:lang w:eastAsia="en-GB"/>
              </w:rPr>
            </w:pPr>
            <w:r w:rsidRPr="00301C4F">
              <w:rPr>
                <w:rFonts w:eastAsia="Times New Roman"/>
                <w:lang w:eastAsia="en-GB"/>
              </w:rPr>
              <w:t>3</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4DF8460" w14:textId="77777777" w:rsidR="00301C4F" w:rsidRPr="00301C4F" w:rsidRDefault="004064AC" w:rsidP="00301C4F">
            <w:pPr>
              <w:spacing w:after="0" w:line="240" w:lineRule="auto"/>
              <w:jc w:val="center"/>
              <w:rPr>
                <w:rFonts w:eastAsia="Times New Roman"/>
                <w:lang w:eastAsia="en-GB"/>
              </w:rPr>
            </w:pPr>
            <w:r>
              <w:rPr>
                <w:rFonts w:eastAsia="Times New Roman"/>
                <w:lang w:eastAsia="en-GB"/>
              </w:rPr>
              <w:t>7,8,</w:t>
            </w:r>
            <w:r w:rsidR="00301C4F" w:rsidRPr="00301C4F">
              <w:rPr>
                <w:rFonts w:eastAsia="Times New Roman"/>
                <w:lang w:eastAsia="en-GB"/>
              </w:rPr>
              <w:t>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DE62DDE" w14:textId="77777777" w:rsidR="00301C4F" w:rsidRPr="00301C4F" w:rsidRDefault="00301C4F" w:rsidP="004064AC">
            <w:pPr>
              <w:spacing w:after="0" w:line="240" w:lineRule="auto"/>
              <w:jc w:val="center"/>
              <w:rPr>
                <w:rFonts w:eastAsia="Times New Roman"/>
                <w:lang w:eastAsia="en-GB"/>
              </w:rPr>
            </w:pPr>
            <w:r w:rsidRPr="00301C4F">
              <w:rPr>
                <w:rFonts w:eastAsia="Times New Roman"/>
                <w:lang w:eastAsia="en-GB"/>
              </w:rPr>
              <w:t>1</w:t>
            </w:r>
            <w:r w:rsidR="003F1B95">
              <w:rPr>
                <w:rFonts w:eastAsia="Times New Roman"/>
                <w:lang w:eastAsia="en-GB"/>
              </w:rPr>
              <w:t>1-</w:t>
            </w:r>
            <w:r w:rsidRPr="00301C4F">
              <w:rPr>
                <w:rFonts w:eastAsia="Times New Roman"/>
                <w:lang w:eastAsia="en-GB"/>
              </w:rPr>
              <w:t>14</w:t>
            </w:r>
          </w:p>
        </w:tc>
      </w:tr>
      <w:tr w:rsidR="00301C4F" w:rsidRPr="00301C4F" w14:paraId="102D4474" w14:textId="77777777" w:rsidTr="00301C4F">
        <w:trPr>
          <w:jc w:val="center"/>
        </w:trPr>
        <w:tc>
          <w:tcPr>
            <w:tcW w:w="157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5E9D2FB6" w14:textId="77777777" w:rsidR="00301C4F" w:rsidRPr="00301C4F" w:rsidRDefault="00301C4F" w:rsidP="00301C4F">
            <w:pPr>
              <w:spacing w:before="100" w:beforeAutospacing="1" w:after="100" w:afterAutospacing="1" w:line="240" w:lineRule="auto"/>
              <w:jc w:val="center"/>
              <w:rPr>
                <w:rFonts w:eastAsia="Times New Roman"/>
                <w:lang w:eastAsia="en-GB"/>
              </w:rPr>
            </w:pPr>
            <w:r w:rsidRPr="00301C4F">
              <w:rPr>
                <w:rFonts w:eastAsia="Times New Roman"/>
                <w:b/>
                <w:bCs/>
                <w:lang w:eastAsia="en-GB"/>
              </w:rPr>
              <w:t>Secondary</w:t>
            </w:r>
          </w:p>
        </w:tc>
        <w:tc>
          <w:tcPr>
            <w:tcW w:w="992" w:type="dxa"/>
            <w:tcBorders>
              <w:top w:val="outset" w:sz="6" w:space="0" w:color="auto"/>
              <w:left w:val="outset" w:sz="6" w:space="0" w:color="auto"/>
              <w:bottom w:val="outset" w:sz="6" w:space="0" w:color="auto"/>
              <w:right w:val="outset" w:sz="6" w:space="0" w:color="auto"/>
            </w:tcBorders>
            <w:vAlign w:val="center"/>
            <w:hideMark/>
          </w:tcPr>
          <w:p w14:paraId="4F3C3F8B" w14:textId="77777777" w:rsidR="00301C4F" w:rsidRPr="00301C4F" w:rsidRDefault="00301C4F" w:rsidP="00301C4F">
            <w:pPr>
              <w:spacing w:before="100" w:beforeAutospacing="1" w:after="100" w:afterAutospacing="1" w:line="240" w:lineRule="auto"/>
              <w:jc w:val="center"/>
              <w:rPr>
                <w:rFonts w:eastAsia="Times New Roman"/>
                <w:lang w:eastAsia="en-GB"/>
              </w:rPr>
            </w:pPr>
            <w:r w:rsidRPr="00301C4F">
              <w:rPr>
                <w:rFonts w:eastAsia="Times New Roman"/>
                <w:lang w:eastAsia="en-GB"/>
              </w:rPr>
              <w:t>4</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55E9CF3" w14:textId="77777777" w:rsidR="00301C4F" w:rsidRPr="00301C4F" w:rsidRDefault="004064AC" w:rsidP="00301C4F">
            <w:pPr>
              <w:spacing w:after="0" w:line="240" w:lineRule="auto"/>
              <w:jc w:val="center"/>
              <w:rPr>
                <w:rFonts w:eastAsia="Times New Roman"/>
                <w:lang w:eastAsia="en-GB"/>
              </w:rPr>
            </w:pPr>
            <w:r>
              <w:rPr>
                <w:rFonts w:eastAsia="Times New Roman"/>
                <w:lang w:eastAsia="en-GB"/>
              </w:rPr>
              <w:t>10,</w:t>
            </w:r>
            <w:r w:rsidR="00301C4F" w:rsidRPr="00301C4F">
              <w:rPr>
                <w:rFonts w:eastAsia="Times New Roman"/>
                <w:lang w:eastAsia="en-GB"/>
              </w:rPr>
              <w:t>11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9B7EDDF" w14:textId="77777777" w:rsidR="00301C4F" w:rsidRPr="00301C4F" w:rsidRDefault="00301C4F" w:rsidP="004064AC">
            <w:pPr>
              <w:spacing w:after="0" w:line="240" w:lineRule="auto"/>
              <w:jc w:val="center"/>
              <w:rPr>
                <w:rFonts w:eastAsia="Times New Roman"/>
                <w:lang w:eastAsia="en-GB"/>
              </w:rPr>
            </w:pPr>
            <w:r w:rsidRPr="00301C4F">
              <w:rPr>
                <w:rFonts w:eastAsia="Times New Roman"/>
                <w:lang w:eastAsia="en-GB"/>
              </w:rPr>
              <w:t>1</w:t>
            </w:r>
            <w:r w:rsidR="004064AC">
              <w:rPr>
                <w:rFonts w:eastAsia="Times New Roman"/>
                <w:lang w:eastAsia="en-GB"/>
              </w:rPr>
              <w:t>4</w:t>
            </w:r>
            <w:r w:rsidR="003F1B95">
              <w:rPr>
                <w:rFonts w:eastAsia="Times New Roman"/>
                <w:lang w:eastAsia="en-GB"/>
              </w:rPr>
              <w:t>-</w:t>
            </w:r>
            <w:r w:rsidRPr="00301C4F">
              <w:rPr>
                <w:rFonts w:eastAsia="Times New Roman"/>
                <w:lang w:eastAsia="en-GB"/>
              </w:rPr>
              <w:t>16</w:t>
            </w:r>
          </w:p>
        </w:tc>
      </w:tr>
    </w:tbl>
    <w:p w14:paraId="33A7D1B6" w14:textId="77777777" w:rsidR="00301C4F" w:rsidRDefault="00301C4F" w:rsidP="002A74A0">
      <w:pPr>
        <w:pStyle w:val="ListParagraph"/>
      </w:pPr>
    </w:p>
    <w:p w14:paraId="4824F61A" w14:textId="77777777" w:rsidR="00CE493C" w:rsidRDefault="00CE493C" w:rsidP="00A17332">
      <w:pPr>
        <w:pStyle w:val="ListParagraph"/>
        <w:numPr>
          <w:ilvl w:val="1"/>
          <w:numId w:val="11"/>
        </w:numPr>
      </w:pPr>
      <w:r>
        <w:t xml:space="preserve">We must ensure that where consent is being relied upon, there is a process in place to capture requests from Data Subjects to withdraw their consent and for us to no longer process their personal data for the purpose(s) explained on the relevant privacy notice which supported obtaining the consent. </w:t>
      </w:r>
    </w:p>
    <w:p w14:paraId="4D022C1F" w14:textId="77777777" w:rsidR="00CE493C" w:rsidRDefault="00CE493C" w:rsidP="00CE493C">
      <w:pPr>
        <w:pStyle w:val="ListParagraph"/>
      </w:pPr>
    </w:p>
    <w:p w14:paraId="67637195" w14:textId="77777777" w:rsidR="00CE493C" w:rsidRDefault="00CE493C" w:rsidP="00E945B1">
      <w:pPr>
        <w:pStyle w:val="ListParagraph"/>
        <w:numPr>
          <w:ilvl w:val="2"/>
          <w:numId w:val="11"/>
        </w:numPr>
        <w:ind w:left="1418" w:hanging="698"/>
      </w:pPr>
      <w:r>
        <w:t xml:space="preserve">In such cases, expressions of wishes to withdraw consent must be directed as soon as possible to the employee </w:t>
      </w:r>
      <w:r w:rsidR="0077467D">
        <w:t xml:space="preserve">responsible for the process </w:t>
      </w:r>
    </w:p>
    <w:p w14:paraId="6D09568A" w14:textId="77777777" w:rsidR="0077467D" w:rsidRDefault="0077467D" w:rsidP="00E945B1">
      <w:pPr>
        <w:pStyle w:val="ListParagraph"/>
        <w:numPr>
          <w:ilvl w:val="2"/>
          <w:numId w:val="11"/>
        </w:numPr>
        <w:ind w:left="1418" w:hanging="698"/>
      </w:pPr>
      <w:r>
        <w:t>A decision must be made on the legal validity of continuing to process personal data obtained or created prior to receiving the withdrawal of consent.</w:t>
      </w:r>
    </w:p>
    <w:p w14:paraId="1A49DE2D" w14:textId="77777777" w:rsidR="0077467D" w:rsidRDefault="0077467D" w:rsidP="00E945B1">
      <w:pPr>
        <w:pStyle w:val="ListParagraph"/>
        <w:numPr>
          <w:ilvl w:val="2"/>
          <w:numId w:val="11"/>
        </w:numPr>
        <w:ind w:left="1418" w:hanging="698"/>
      </w:pPr>
      <w:r>
        <w:t>Where there is doubt about the Data Subject’s intentions, there clarification should be sought over whether they wish to exercise other rights in respect of data processed under consent prior to receipt of the withdrawal.</w:t>
      </w:r>
    </w:p>
    <w:p w14:paraId="1EDD2982" w14:textId="77777777" w:rsidR="00242DA2" w:rsidRDefault="0077467D" w:rsidP="00E945B1">
      <w:pPr>
        <w:pStyle w:val="ListParagraph"/>
        <w:numPr>
          <w:ilvl w:val="2"/>
          <w:numId w:val="11"/>
        </w:numPr>
        <w:ind w:left="1418" w:hanging="698"/>
      </w:pPr>
      <w:r>
        <w:t>If a ‘suppression list’ is in operation, the Data Subject’s withdrawal of consent must be managed in the relevant suppression list to ensure that future contact with the Data Subjects is in line with their wishes where consent is the condition for processing</w:t>
      </w:r>
      <w:r w:rsidR="00242DA2">
        <w:t xml:space="preserve"> </w:t>
      </w:r>
    </w:p>
    <w:p w14:paraId="258E2CCE" w14:textId="77777777" w:rsidR="0077467D" w:rsidRDefault="0077467D" w:rsidP="0077467D">
      <w:pPr>
        <w:pStyle w:val="ListParagraph"/>
        <w:ind w:left="1224"/>
      </w:pPr>
    </w:p>
    <w:p w14:paraId="5A59A6BD" w14:textId="77777777" w:rsidR="0077467D" w:rsidRDefault="0077467D" w:rsidP="00E945B1">
      <w:pPr>
        <w:pStyle w:val="ListParagraph"/>
        <w:numPr>
          <w:ilvl w:val="2"/>
          <w:numId w:val="11"/>
        </w:numPr>
        <w:ind w:left="1418" w:hanging="698"/>
      </w:pPr>
      <w:r>
        <w:t xml:space="preserve">Where consent is relied upon as the condition for processing, </w:t>
      </w:r>
      <w:r w:rsidR="00AA69D8">
        <w:t>its validity depends on satisfying all the criteria below</w:t>
      </w:r>
      <w:r>
        <w:t xml:space="preserve">: </w:t>
      </w:r>
    </w:p>
    <w:p w14:paraId="3C5E7A93" w14:textId="77777777" w:rsidR="0077467D" w:rsidRDefault="0077467D" w:rsidP="0077467D">
      <w:pPr>
        <w:pStyle w:val="ListParagraph"/>
      </w:pPr>
    </w:p>
    <w:p w14:paraId="0F91320C" w14:textId="77777777" w:rsidR="0077467D" w:rsidRDefault="0077467D" w:rsidP="00E945B1">
      <w:pPr>
        <w:pStyle w:val="ListParagraph"/>
        <w:numPr>
          <w:ilvl w:val="3"/>
          <w:numId w:val="11"/>
        </w:numPr>
        <w:ind w:left="1985" w:hanging="905"/>
      </w:pPr>
      <w:r w:rsidRPr="00AA69D8">
        <w:rPr>
          <w:b/>
          <w:i/>
        </w:rPr>
        <w:t>It must be freely given</w:t>
      </w:r>
      <w:r>
        <w:t xml:space="preserve">. The Data Subject must have a genuine choice whether or not to provide their personal data. For example, if a service vital to their health or wellbeing will not be provided unless personal data is supplied, then there is a balance of power in favour of the Data Controller where the Data Subject is </w:t>
      </w:r>
      <w:r>
        <w:lastRenderedPageBreak/>
        <w:t>compelled to provide data. This cannot be said to be consent freely given</w:t>
      </w:r>
    </w:p>
    <w:p w14:paraId="5039A544" w14:textId="77777777" w:rsidR="0077467D" w:rsidRDefault="0077467D" w:rsidP="0077467D">
      <w:pPr>
        <w:pStyle w:val="ListParagraph"/>
        <w:ind w:left="1728"/>
      </w:pPr>
    </w:p>
    <w:p w14:paraId="4E85F04D" w14:textId="77777777" w:rsidR="0077467D" w:rsidRDefault="00AA69D8" w:rsidP="00E945B1">
      <w:pPr>
        <w:pStyle w:val="ListParagraph"/>
        <w:numPr>
          <w:ilvl w:val="3"/>
          <w:numId w:val="11"/>
        </w:numPr>
        <w:ind w:left="1985" w:hanging="851"/>
      </w:pPr>
      <w:r>
        <w:rPr>
          <w:b/>
          <w:i/>
        </w:rPr>
        <w:t>It</w:t>
      </w:r>
      <w:r w:rsidRPr="00AA69D8">
        <w:rPr>
          <w:b/>
          <w:i/>
        </w:rPr>
        <w:t xml:space="preserve"> must be well-informed</w:t>
      </w:r>
      <w:r>
        <w:t>. The Data Subject must be in receipt of all the necessary facts meeting their legal right to be informed about prospective processing of their personal data. This information should be provided to them via a Privacy Notice which is compliant with the law. The detail on the Notice will therefore ensure that the Data Subject has all the facts at their disposal to make a well-informed decision about whether they are comfortable providing personal data under the specified conditions.</w:t>
      </w:r>
    </w:p>
    <w:p w14:paraId="0360A892" w14:textId="77777777" w:rsidR="00AA69D8" w:rsidRDefault="00AA69D8" w:rsidP="00AA69D8">
      <w:pPr>
        <w:pStyle w:val="ListParagraph"/>
      </w:pPr>
    </w:p>
    <w:p w14:paraId="2E2FA06A" w14:textId="77777777" w:rsidR="00AA69D8" w:rsidRDefault="00AA69D8" w:rsidP="00E945B1">
      <w:pPr>
        <w:pStyle w:val="ListParagraph"/>
        <w:numPr>
          <w:ilvl w:val="3"/>
          <w:numId w:val="11"/>
        </w:numPr>
        <w:ind w:left="1985" w:hanging="905"/>
      </w:pPr>
      <w:r w:rsidRPr="00AA69D8">
        <w:rPr>
          <w:b/>
          <w:i/>
        </w:rPr>
        <w:t>It must be clearly expressed</w:t>
      </w:r>
      <w:r>
        <w:t>. The Data Subject’s recorded consent must stand as a record evidencing that consent was given. This record must therefore include a form of identifiable written, electronically verifiable or recorded verbal record which can be dated. It must be associated with having read and understood the Privacy Notice and must be correctly linked to the correct version of the Privacy Notices current at the time of initially providing consent and when consent was refreshed. The most efficient way of doing so is to combine a Consent Form with a Privacy Notice and retain as records for the duration of the processing activity.</w:t>
      </w:r>
    </w:p>
    <w:p w14:paraId="7429BEE6" w14:textId="77777777" w:rsidR="00AA69D8" w:rsidRDefault="00AA69D8" w:rsidP="00AA69D8">
      <w:pPr>
        <w:pStyle w:val="ListParagraph"/>
      </w:pPr>
    </w:p>
    <w:p w14:paraId="008D66D5" w14:textId="77777777" w:rsidR="00D224A8" w:rsidRDefault="00AA69D8" w:rsidP="00E945B1">
      <w:pPr>
        <w:pStyle w:val="ListParagraph"/>
        <w:numPr>
          <w:ilvl w:val="2"/>
          <w:numId w:val="11"/>
        </w:numPr>
        <w:ind w:left="1560" w:hanging="840"/>
      </w:pPr>
      <w:r>
        <w:t>Where conse</w:t>
      </w:r>
      <w:r w:rsidR="00E945B1">
        <w:t xml:space="preserve">nt is sought from Children over the age of 13, the requirements of section 3.4.5 will need to additionally evidence that the Privacy Notice was intelligible to the typical age of maturity and capacity of the Data Subject. Where the child is under 13, </w:t>
      </w:r>
      <w:r w:rsidR="00242DA2">
        <w:t xml:space="preserve">processes for obtaining parental consent/ authorisation </w:t>
      </w:r>
      <w:r w:rsidR="00E945B1">
        <w:t>will need to be</w:t>
      </w:r>
      <w:r w:rsidR="00242DA2">
        <w:t xml:space="preserve"> in place</w:t>
      </w:r>
    </w:p>
    <w:p w14:paraId="4BAEB4CC" w14:textId="77777777" w:rsidR="00242DA2" w:rsidRPr="00D224A8" w:rsidRDefault="00242DA2" w:rsidP="00D224A8"/>
    <w:p w14:paraId="085AD187" w14:textId="77777777" w:rsidR="00D224A8" w:rsidRDefault="00D224A8" w:rsidP="009264C8">
      <w:pPr>
        <w:pStyle w:val="Heading1"/>
        <w:numPr>
          <w:ilvl w:val="0"/>
          <w:numId w:val="11"/>
        </w:numPr>
      </w:pPr>
      <w:bookmarkStart w:id="6" w:name="_Toc4420706"/>
      <w:r>
        <w:t>Advice and Support</w:t>
      </w:r>
      <w:bookmarkEnd w:id="6"/>
    </w:p>
    <w:p w14:paraId="1F24D7B3" w14:textId="77777777" w:rsidR="00D224A8" w:rsidRDefault="00D224A8" w:rsidP="00D224A8">
      <w:pPr>
        <w:ind w:left="360"/>
      </w:pPr>
    </w:p>
    <w:p w14:paraId="6373B595" w14:textId="77777777" w:rsidR="00D224A8" w:rsidRDefault="00D224A8" w:rsidP="00D224A8">
      <w:pPr>
        <w:pStyle w:val="ListParagraph"/>
        <w:numPr>
          <w:ilvl w:val="1"/>
          <w:numId w:val="11"/>
        </w:numPr>
      </w:pPr>
      <w:r>
        <w:t xml:space="preserve">If you have any issues over the clarity of these procedures, how they should be applied in practice, require advice about exemptions from the </w:t>
      </w:r>
      <w:r w:rsidRPr="00FD154E">
        <w:t xml:space="preserve">requirements or have any suggestions for amendments, please contact </w:t>
      </w:r>
      <w:r w:rsidR="00FD154E" w:rsidRPr="00FD154E">
        <w:t>the school office.</w:t>
      </w:r>
    </w:p>
    <w:p w14:paraId="690A00E0" w14:textId="77777777" w:rsidR="00D224A8" w:rsidRPr="00D224A8" w:rsidRDefault="00D224A8" w:rsidP="00D224A8"/>
    <w:p w14:paraId="3FD072DB" w14:textId="77777777" w:rsidR="009264C8" w:rsidRDefault="00142418" w:rsidP="009264C8">
      <w:pPr>
        <w:pStyle w:val="Heading1"/>
        <w:numPr>
          <w:ilvl w:val="0"/>
          <w:numId w:val="11"/>
        </w:numPr>
      </w:pPr>
      <w:bookmarkStart w:id="7" w:name="_Toc4420707"/>
      <w:r w:rsidRPr="00142418">
        <w:t>Breach Statement</w:t>
      </w:r>
      <w:bookmarkEnd w:id="7"/>
    </w:p>
    <w:p w14:paraId="3AD32176" w14:textId="77777777" w:rsidR="009264C8" w:rsidRPr="009264C8" w:rsidRDefault="009264C8" w:rsidP="009264C8"/>
    <w:p w14:paraId="50B786E8" w14:textId="77777777" w:rsidR="00142418" w:rsidRDefault="00D224A8" w:rsidP="009264C8">
      <w:pPr>
        <w:pStyle w:val="ListParagraph"/>
        <w:numPr>
          <w:ilvl w:val="1"/>
          <w:numId w:val="11"/>
        </w:numPr>
      </w:pPr>
      <w:r>
        <w:lastRenderedPageBreak/>
        <w:t>A breach</w:t>
      </w:r>
      <w:r w:rsidR="00142418">
        <w:t xml:space="preserve"> of </w:t>
      </w:r>
      <w:r>
        <w:t xml:space="preserve">this procedure is a breach of Information Policy. Breaches </w:t>
      </w:r>
      <w:r w:rsidR="00142418" w:rsidRPr="00552A9E">
        <w:t xml:space="preserve">will be investigated and may result in disciplinary action. Serious breaches of </w:t>
      </w:r>
      <w:r w:rsidR="00142418">
        <w:t>Policy</w:t>
      </w:r>
      <w:r w:rsidR="00142418" w:rsidRPr="00552A9E">
        <w:t xml:space="preserve"> may be considered gross misconduct and res</w:t>
      </w:r>
      <w:r w:rsidR="00142418">
        <w:t>ult in dismissal without notice, or legal action being taken against you.</w:t>
      </w:r>
    </w:p>
    <w:p w14:paraId="2BBF405C" w14:textId="77777777" w:rsidR="00C17B96" w:rsidRDefault="00C17B96" w:rsidP="00C76929">
      <w:pPr>
        <w:pStyle w:val="NoSpacing"/>
        <w:ind w:left="426"/>
      </w:pPr>
    </w:p>
    <w:sectPr w:rsidR="00C17B96" w:rsidSect="00494A5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72965" w14:textId="77777777" w:rsidR="00496D57" w:rsidRDefault="00496D57" w:rsidP="000568F0">
      <w:pPr>
        <w:spacing w:after="0" w:line="240" w:lineRule="auto"/>
      </w:pPr>
      <w:r>
        <w:separator/>
      </w:r>
    </w:p>
  </w:endnote>
  <w:endnote w:type="continuationSeparator" w:id="0">
    <w:p w14:paraId="7701F005" w14:textId="77777777" w:rsidR="00496D57" w:rsidRDefault="00496D57" w:rsidP="0005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5C8C9" w14:textId="77777777" w:rsidR="00EE6D6E" w:rsidRDefault="00137027" w:rsidP="00137027">
    <w:pPr>
      <w:pStyle w:val="Footer"/>
      <w:tabs>
        <w:tab w:val="clear" w:pos="4513"/>
        <w:tab w:val="clear" w:pos="9026"/>
        <w:tab w:val="left" w:pos="5790"/>
      </w:tabs>
      <w:jc w:val="right"/>
    </w:pPr>
    <w:r>
      <w:rPr>
        <w:noProof/>
        <w:lang w:eastAsia="en-GB"/>
      </w:rPr>
      <w:drawing>
        <wp:inline distT="0" distB="0" distL="0" distR="0" wp14:anchorId="0E3026DF" wp14:editId="684FE19F">
          <wp:extent cx="4688205" cy="32893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8205" cy="3289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4C73C" w14:textId="77777777" w:rsidR="00496D57" w:rsidRDefault="00496D57" w:rsidP="000568F0">
      <w:pPr>
        <w:spacing w:after="0" w:line="240" w:lineRule="auto"/>
      </w:pPr>
      <w:r>
        <w:separator/>
      </w:r>
    </w:p>
  </w:footnote>
  <w:footnote w:type="continuationSeparator" w:id="0">
    <w:p w14:paraId="5021C05F" w14:textId="77777777" w:rsidR="00496D57" w:rsidRDefault="00496D57" w:rsidP="00056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8152" w14:textId="77777777" w:rsidR="00D977ED" w:rsidRPr="00D977ED" w:rsidRDefault="00D977ED" w:rsidP="00D977ED">
    <w:pPr>
      <w:spacing w:before="100" w:beforeAutospacing="1" w:after="100" w:afterAutospacing="1" w:line="240" w:lineRule="auto"/>
      <w:jc w:val="right"/>
      <w:rPr>
        <w:rFonts w:ascii="Times New Roman" w:eastAsia="Times New Roman" w:hAnsi="Times New Roman" w:cs="Times New Roman"/>
        <w:lang w:eastAsia="en-GB"/>
      </w:rPr>
    </w:pPr>
    <w:r w:rsidRPr="00D977ED">
      <w:rPr>
        <w:rFonts w:ascii="Times New Roman" w:eastAsia="Times New Roman" w:hAnsi="Times New Roman" w:cs="Times New Roman"/>
        <w:noProof/>
        <w:lang w:eastAsia="en-GB"/>
      </w:rPr>
      <w:drawing>
        <wp:inline distT="0" distB="0" distL="0" distR="0" wp14:anchorId="7BC786BC" wp14:editId="3088E118">
          <wp:extent cx="2733675" cy="1156860"/>
          <wp:effectExtent l="0" t="0" r="0" b="5715"/>
          <wp:docPr id="2" name="Picture 2" descr="I:\Data\Office\Logo\Clarboroug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Office\Logo\Clarborough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9037" cy="1159129"/>
                  </a:xfrm>
                  <a:prstGeom prst="rect">
                    <a:avLst/>
                  </a:prstGeom>
                  <a:noFill/>
                  <a:ln>
                    <a:noFill/>
                  </a:ln>
                </pic:spPr>
              </pic:pic>
            </a:graphicData>
          </a:graphic>
        </wp:inline>
      </w:drawing>
    </w:r>
  </w:p>
  <w:p w14:paraId="344B1A54" w14:textId="77777777" w:rsidR="00D977ED" w:rsidRDefault="00D97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28B4" w14:textId="77777777" w:rsidR="00D977ED" w:rsidRPr="00D977ED" w:rsidRDefault="00D977ED" w:rsidP="00D977ED">
    <w:pPr>
      <w:spacing w:before="100" w:beforeAutospacing="1" w:after="100" w:afterAutospacing="1" w:line="240" w:lineRule="auto"/>
      <w:jc w:val="right"/>
      <w:rPr>
        <w:rFonts w:ascii="Times New Roman" w:eastAsia="Times New Roman" w:hAnsi="Times New Roman" w:cs="Times New Roman"/>
        <w:lang w:eastAsia="en-GB"/>
      </w:rPr>
    </w:pPr>
  </w:p>
  <w:p w14:paraId="2AB36B1E" w14:textId="77777777" w:rsidR="00D977ED" w:rsidRDefault="00D97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5957"/>
    <w:multiLevelType w:val="hybridMultilevel"/>
    <w:tmpl w:val="758C1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B13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40124A"/>
    <w:multiLevelType w:val="hybridMultilevel"/>
    <w:tmpl w:val="7266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50E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E5438E"/>
    <w:multiLevelType w:val="hybridMultilevel"/>
    <w:tmpl w:val="E5C0AA0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32411F33"/>
    <w:multiLevelType w:val="hybridMultilevel"/>
    <w:tmpl w:val="2E9C8642"/>
    <w:lvl w:ilvl="0" w:tplc="0809000F">
      <w:start w:val="1"/>
      <w:numFmt w:val="decimal"/>
      <w:lvlText w:val="%1."/>
      <w:lvlJc w:val="left"/>
      <w:pPr>
        <w:ind w:left="1146" w:hanging="360"/>
      </w:pPr>
      <w:rPr>
        <w:rFont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4850665"/>
    <w:multiLevelType w:val="hybridMultilevel"/>
    <w:tmpl w:val="ED209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0D99"/>
    <w:multiLevelType w:val="hybridMultilevel"/>
    <w:tmpl w:val="D556EA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43DE675D"/>
    <w:multiLevelType w:val="multilevel"/>
    <w:tmpl w:val="F10CE328"/>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CC1A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297F3E"/>
    <w:multiLevelType w:val="hybridMultilevel"/>
    <w:tmpl w:val="6DA4AEB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6B9923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7E6B52"/>
    <w:multiLevelType w:val="multilevel"/>
    <w:tmpl w:val="3B26B3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0"/>
  </w:num>
  <w:num w:numId="3">
    <w:abstractNumId w:val="7"/>
  </w:num>
  <w:num w:numId="4">
    <w:abstractNumId w:val="5"/>
  </w:num>
  <w:num w:numId="5">
    <w:abstractNumId w:val="2"/>
  </w:num>
  <w:num w:numId="6">
    <w:abstractNumId w:val="6"/>
  </w:num>
  <w:num w:numId="7">
    <w:abstractNumId w:val="11"/>
  </w:num>
  <w:num w:numId="8">
    <w:abstractNumId w:val="3"/>
  </w:num>
  <w:num w:numId="9">
    <w:abstractNumId w:val="1"/>
  </w:num>
  <w:num w:numId="10">
    <w:abstractNumId w:val="12"/>
  </w:num>
  <w:num w:numId="11">
    <w:abstractNumId w:val="9"/>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29"/>
    <w:rsid w:val="00016299"/>
    <w:rsid w:val="00042AE4"/>
    <w:rsid w:val="00051290"/>
    <w:rsid w:val="000568F0"/>
    <w:rsid w:val="00076C8E"/>
    <w:rsid w:val="000D341F"/>
    <w:rsid w:val="000D4CC8"/>
    <w:rsid w:val="00124757"/>
    <w:rsid w:val="00137027"/>
    <w:rsid w:val="001419A8"/>
    <w:rsid w:val="00142418"/>
    <w:rsid w:val="00186D65"/>
    <w:rsid w:val="001E7E9D"/>
    <w:rsid w:val="00214F82"/>
    <w:rsid w:val="00242DA2"/>
    <w:rsid w:val="00290886"/>
    <w:rsid w:val="002A74A0"/>
    <w:rsid w:val="002E0F53"/>
    <w:rsid w:val="002F1B48"/>
    <w:rsid w:val="00301C4F"/>
    <w:rsid w:val="00302C5A"/>
    <w:rsid w:val="00304BEA"/>
    <w:rsid w:val="00354D53"/>
    <w:rsid w:val="003C7B56"/>
    <w:rsid w:val="003F1B95"/>
    <w:rsid w:val="004064AC"/>
    <w:rsid w:val="00494A56"/>
    <w:rsid w:val="00496D57"/>
    <w:rsid w:val="004D7864"/>
    <w:rsid w:val="004D794E"/>
    <w:rsid w:val="00521A92"/>
    <w:rsid w:val="005564B6"/>
    <w:rsid w:val="005629B3"/>
    <w:rsid w:val="005A62A8"/>
    <w:rsid w:val="0063121C"/>
    <w:rsid w:val="006624F4"/>
    <w:rsid w:val="006709D6"/>
    <w:rsid w:val="006B62CC"/>
    <w:rsid w:val="006D5766"/>
    <w:rsid w:val="006F521B"/>
    <w:rsid w:val="007039AC"/>
    <w:rsid w:val="00722D00"/>
    <w:rsid w:val="00771299"/>
    <w:rsid w:val="0077467D"/>
    <w:rsid w:val="007B0245"/>
    <w:rsid w:val="007F28E6"/>
    <w:rsid w:val="00822A9F"/>
    <w:rsid w:val="00845BEE"/>
    <w:rsid w:val="00886297"/>
    <w:rsid w:val="008C0AF1"/>
    <w:rsid w:val="008E1D6C"/>
    <w:rsid w:val="008F7738"/>
    <w:rsid w:val="00902B85"/>
    <w:rsid w:val="009264C8"/>
    <w:rsid w:val="00933139"/>
    <w:rsid w:val="00935331"/>
    <w:rsid w:val="009D7E80"/>
    <w:rsid w:val="00A24858"/>
    <w:rsid w:val="00A24A90"/>
    <w:rsid w:val="00A41D1B"/>
    <w:rsid w:val="00A81783"/>
    <w:rsid w:val="00AA69D8"/>
    <w:rsid w:val="00B11348"/>
    <w:rsid w:val="00B734C7"/>
    <w:rsid w:val="00BA7D06"/>
    <w:rsid w:val="00BD2B13"/>
    <w:rsid w:val="00C17B96"/>
    <w:rsid w:val="00C76656"/>
    <w:rsid w:val="00C76929"/>
    <w:rsid w:val="00C84052"/>
    <w:rsid w:val="00CA15CA"/>
    <w:rsid w:val="00CD6DF9"/>
    <w:rsid w:val="00CE0D1E"/>
    <w:rsid w:val="00CE2C82"/>
    <w:rsid w:val="00CE493C"/>
    <w:rsid w:val="00D224A8"/>
    <w:rsid w:val="00D36647"/>
    <w:rsid w:val="00D40B7A"/>
    <w:rsid w:val="00D5621B"/>
    <w:rsid w:val="00D62E9D"/>
    <w:rsid w:val="00D754BF"/>
    <w:rsid w:val="00D816F1"/>
    <w:rsid w:val="00D977ED"/>
    <w:rsid w:val="00DD3F22"/>
    <w:rsid w:val="00DE13C1"/>
    <w:rsid w:val="00DF3892"/>
    <w:rsid w:val="00E14356"/>
    <w:rsid w:val="00E35F68"/>
    <w:rsid w:val="00E763B3"/>
    <w:rsid w:val="00E945B1"/>
    <w:rsid w:val="00E94905"/>
    <w:rsid w:val="00EB5013"/>
    <w:rsid w:val="00ED30F3"/>
    <w:rsid w:val="00EE6D6E"/>
    <w:rsid w:val="00F12A52"/>
    <w:rsid w:val="00F4440A"/>
    <w:rsid w:val="00F63480"/>
    <w:rsid w:val="00FD029E"/>
    <w:rsid w:val="00FD154E"/>
    <w:rsid w:val="00FD3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8E89E0"/>
  <w15:docId w15:val="{C554C274-4AE2-4361-99F1-AB13E519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929"/>
    <w:pPr>
      <w:spacing w:after="200" w:line="276" w:lineRule="auto"/>
    </w:pPr>
    <w:rPr>
      <w:rFonts w:eastAsia="Calibri"/>
    </w:rPr>
  </w:style>
  <w:style w:type="paragraph" w:styleId="Heading1">
    <w:name w:val="heading 1"/>
    <w:basedOn w:val="Normal"/>
    <w:next w:val="Normal"/>
    <w:link w:val="Heading1Char"/>
    <w:uiPriority w:val="9"/>
    <w:qFormat/>
    <w:rsid w:val="00A81783"/>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76929"/>
    <w:pPr>
      <w:spacing w:after="0" w:line="240" w:lineRule="auto"/>
    </w:pPr>
    <w:rPr>
      <w:rFonts w:eastAsia="Calibri"/>
      <w:lang w:eastAsia="en-GB"/>
    </w:rPr>
  </w:style>
  <w:style w:type="character" w:customStyle="1" w:styleId="Heading1Char">
    <w:name w:val="Heading 1 Char"/>
    <w:basedOn w:val="DefaultParagraphFont"/>
    <w:link w:val="Heading1"/>
    <w:uiPriority w:val="9"/>
    <w:rsid w:val="00A81783"/>
    <w:rPr>
      <w:rFonts w:eastAsiaTheme="majorEastAsia" w:cstheme="majorBidi"/>
      <w:b/>
      <w:szCs w:val="32"/>
    </w:rPr>
  </w:style>
  <w:style w:type="paragraph" w:styleId="TOCHeading">
    <w:name w:val="TOC Heading"/>
    <w:basedOn w:val="Heading1"/>
    <w:next w:val="Normal"/>
    <w:uiPriority w:val="39"/>
    <w:unhideWhenUsed/>
    <w:qFormat/>
    <w:rsid w:val="00C76929"/>
    <w:pPr>
      <w:spacing w:before="480"/>
      <w:outlineLvl w:val="9"/>
    </w:pPr>
    <w:rPr>
      <w:rFonts w:ascii="Cambria" w:eastAsia="MS Gothic" w:hAnsi="Cambria" w:cs="Times New Roman"/>
      <w:b w:val="0"/>
      <w:bCs/>
      <w:color w:val="365F91"/>
      <w:sz w:val="28"/>
      <w:szCs w:val="28"/>
      <w:lang w:val="en-US" w:eastAsia="ja-JP"/>
    </w:rPr>
  </w:style>
  <w:style w:type="character" w:styleId="Hyperlink">
    <w:name w:val="Hyperlink"/>
    <w:basedOn w:val="DefaultParagraphFont"/>
    <w:uiPriority w:val="99"/>
    <w:unhideWhenUsed/>
    <w:rsid w:val="00C76929"/>
    <w:rPr>
      <w:color w:val="0563C1" w:themeColor="hyperlink"/>
      <w:u w:val="single"/>
    </w:rPr>
  </w:style>
  <w:style w:type="paragraph" w:styleId="ListParagraph">
    <w:name w:val="List Paragraph"/>
    <w:basedOn w:val="Normal"/>
    <w:uiPriority w:val="34"/>
    <w:qFormat/>
    <w:rsid w:val="00C76929"/>
    <w:pPr>
      <w:ind w:left="720"/>
      <w:contextualSpacing/>
    </w:pPr>
  </w:style>
  <w:style w:type="paragraph" w:styleId="TOC1">
    <w:name w:val="toc 1"/>
    <w:basedOn w:val="Normal"/>
    <w:next w:val="Normal"/>
    <w:autoRedefine/>
    <w:uiPriority w:val="39"/>
    <w:rsid w:val="00C76929"/>
    <w:pPr>
      <w:tabs>
        <w:tab w:val="right" w:leader="dot" w:pos="9016"/>
      </w:tabs>
      <w:spacing w:after="0" w:line="360" w:lineRule="auto"/>
      <w:ind w:left="851" w:hanging="425"/>
    </w:pPr>
    <w:rPr>
      <w:rFonts w:eastAsia="Times New Roman" w:cs="Times New Roman"/>
      <w:noProof/>
      <w:u w:color="FFFFFF" w:themeColor="background1"/>
      <w:lang w:eastAsia="en-GB"/>
    </w:rPr>
  </w:style>
  <w:style w:type="character" w:customStyle="1" w:styleId="NoSpacingChar">
    <w:name w:val="No Spacing Char"/>
    <w:link w:val="NoSpacing"/>
    <w:uiPriority w:val="1"/>
    <w:rsid w:val="00C76929"/>
    <w:rPr>
      <w:rFonts w:eastAsia="Calibri"/>
      <w:lang w:eastAsia="en-GB"/>
    </w:rPr>
  </w:style>
  <w:style w:type="table" w:styleId="TableGrid">
    <w:name w:val="Table Grid"/>
    <w:basedOn w:val="TableNormal"/>
    <w:uiPriority w:val="59"/>
    <w:rsid w:val="00C769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F0"/>
    <w:rPr>
      <w:rFonts w:eastAsia="Calibri"/>
    </w:rPr>
  </w:style>
  <w:style w:type="paragraph" w:styleId="Footer">
    <w:name w:val="footer"/>
    <w:basedOn w:val="Normal"/>
    <w:link w:val="FooterChar"/>
    <w:uiPriority w:val="99"/>
    <w:unhideWhenUsed/>
    <w:rsid w:val="0005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F0"/>
    <w:rPr>
      <w:rFonts w:eastAsia="Calibri"/>
    </w:rPr>
  </w:style>
  <w:style w:type="character" w:styleId="FollowedHyperlink">
    <w:name w:val="FollowedHyperlink"/>
    <w:basedOn w:val="DefaultParagraphFont"/>
    <w:uiPriority w:val="99"/>
    <w:semiHidden/>
    <w:unhideWhenUsed/>
    <w:rsid w:val="004D794E"/>
    <w:rPr>
      <w:color w:val="954F72" w:themeColor="followedHyperlink"/>
      <w:u w:val="single"/>
    </w:rPr>
  </w:style>
  <w:style w:type="paragraph" w:styleId="BalloonText">
    <w:name w:val="Balloon Text"/>
    <w:basedOn w:val="Normal"/>
    <w:link w:val="BalloonTextChar"/>
    <w:uiPriority w:val="99"/>
    <w:semiHidden/>
    <w:unhideWhenUsed/>
    <w:rsid w:val="00142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418"/>
    <w:rPr>
      <w:rFonts w:ascii="Tahoma" w:eastAsia="Calibri" w:hAnsi="Tahoma" w:cs="Tahoma"/>
      <w:sz w:val="16"/>
      <w:szCs w:val="16"/>
    </w:rPr>
  </w:style>
  <w:style w:type="paragraph" w:styleId="NormalWeb">
    <w:name w:val="Normal (Web)"/>
    <w:basedOn w:val="Normal"/>
    <w:uiPriority w:val="99"/>
    <w:unhideWhenUsed/>
    <w:rsid w:val="00301C4F"/>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354849">
      <w:bodyDiv w:val="1"/>
      <w:marLeft w:val="0"/>
      <w:marRight w:val="0"/>
      <w:marTop w:val="0"/>
      <w:marBottom w:val="0"/>
      <w:divBdr>
        <w:top w:val="none" w:sz="0" w:space="0" w:color="auto"/>
        <w:left w:val="none" w:sz="0" w:space="0" w:color="auto"/>
        <w:bottom w:val="none" w:sz="0" w:space="0" w:color="auto"/>
        <w:right w:val="none" w:sz="0" w:space="0" w:color="auto"/>
      </w:divBdr>
      <w:divsChild>
        <w:div w:id="477191699">
          <w:marLeft w:val="-7800"/>
          <w:marRight w:val="0"/>
          <w:marTop w:val="0"/>
          <w:marBottom w:val="0"/>
          <w:divBdr>
            <w:top w:val="none" w:sz="0" w:space="0" w:color="auto"/>
            <w:left w:val="none" w:sz="0" w:space="0" w:color="auto"/>
            <w:bottom w:val="none" w:sz="0" w:space="0" w:color="auto"/>
            <w:right w:val="none" w:sz="0" w:space="0" w:color="auto"/>
          </w:divBdr>
          <w:divsChild>
            <w:div w:id="51124046">
              <w:marLeft w:val="300"/>
              <w:marRight w:val="300"/>
              <w:marTop w:val="0"/>
              <w:marBottom w:val="0"/>
              <w:divBdr>
                <w:top w:val="none" w:sz="0" w:space="0" w:color="auto"/>
                <w:left w:val="none" w:sz="0" w:space="0" w:color="auto"/>
                <w:bottom w:val="none" w:sz="0" w:space="0" w:color="auto"/>
                <w:right w:val="none" w:sz="0" w:space="0" w:color="auto"/>
              </w:divBdr>
              <w:divsChild>
                <w:div w:id="114677646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041248003">
      <w:bodyDiv w:val="1"/>
      <w:marLeft w:val="0"/>
      <w:marRight w:val="0"/>
      <w:marTop w:val="0"/>
      <w:marBottom w:val="0"/>
      <w:divBdr>
        <w:top w:val="none" w:sz="0" w:space="0" w:color="auto"/>
        <w:left w:val="none" w:sz="0" w:space="0" w:color="auto"/>
        <w:bottom w:val="none" w:sz="0" w:space="0" w:color="auto"/>
        <w:right w:val="none" w:sz="0" w:space="0" w:color="auto"/>
      </w:divBdr>
    </w:div>
    <w:div w:id="1181502870">
      <w:bodyDiv w:val="1"/>
      <w:marLeft w:val="0"/>
      <w:marRight w:val="0"/>
      <w:marTop w:val="0"/>
      <w:marBottom w:val="0"/>
      <w:divBdr>
        <w:top w:val="none" w:sz="0" w:space="0" w:color="auto"/>
        <w:left w:val="none" w:sz="0" w:space="0" w:color="auto"/>
        <w:bottom w:val="none" w:sz="0" w:space="0" w:color="auto"/>
        <w:right w:val="none" w:sz="0" w:space="0" w:color="auto"/>
      </w:divBdr>
    </w:div>
    <w:div w:id="1633444594">
      <w:bodyDiv w:val="1"/>
      <w:marLeft w:val="0"/>
      <w:marRight w:val="0"/>
      <w:marTop w:val="0"/>
      <w:marBottom w:val="0"/>
      <w:divBdr>
        <w:top w:val="none" w:sz="0" w:space="0" w:color="auto"/>
        <w:left w:val="none" w:sz="0" w:space="0" w:color="auto"/>
        <w:bottom w:val="none" w:sz="0" w:space="0" w:color="auto"/>
        <w:right w:val="none" w:sz="0" w:space="0" w:color="auto"/>
      </w:divBdr>
      <w:divsChild>
        <w:div w:id="1422145229">
          <w:marLeft w:val="0"/>
          <w:marRight w:val="0"/>
          <w:marTop w:val="0"/>
          <w:marBottom w:val="0"/>
          <w:divBdr>
            <w:top w:val="none" w:sz="0" w:space="0" w:color="auto"/>
            <w:left w:val="none" w:sz="0" w:space="0" w:color="auto"/>
            <w:bottom w:val="none" w:sz="0" w:space="0" w:color="auto"/>
            <w:right w:val="none" w:sz="0" w:space="0" w:color="auto"/>
          </w:divBdr>
          <w:divsChild>
            <w:div w:id="1976182142">
              <w:marLeft w:val="0"/>
              <w:marRight w:val="0"/>
              <w:marTop w:val="0"/>
              <w:marBottom w:val="0"/>
              <w:divBdr>
                <w:top w:val="none" w:sz="0" w:space="0" w:color="auto"/>
                <w:left w:val="none" w:sz="0" w:space="0" w:color="auto"/>
                <w:bottom w:val="none" w:sz="0" w:space="0" w:color="auto"/>
                <w:right w:val="none" w:sz="0" w:space="0" w:color="auto"/>
              </w:divBdr>
              <w:divsChild>
                <w:div w:id="80378798">
                  <w:marLeft w:val="0"/>
                  <w:marRight w:val="0"/>
                  <w:marTop w:val="0"/>
                  <w:marBottom w:val="0"/>
                  <w:divBdr>
                    <w:top w:val="none" w:sz="0" w:space="0" w:color="auto"/>
                    <w:left w:val="none" w:sz="0" w:space="0" w:color="auto"/>
                    <w:bottom w:val="none" w:sz="0" w:space="0" w:color="auto"/>
                    <w:right w:val="none" w:sz="0" w:space="0" w:color="auto"/>
                  </w:divBdr>
                  <w:divsChild>
                    <w:div w:id="304546523">
                      <w:marLeft w:val="0"/>
                      <w:marRight w:val="0"/>
                      <w:marTop w:val="0"/>
                      <w:marBottom w:val="0"/>
                      <w:divBdr>
                        <w:top w:val="none" w:sz="0" w:space="0" w:color="auto"/>
                        <w:left w:val="none" w:sz="0" w:space="0" w:color="auto"/>
                        <w:bottom w:val="none" w:sz="0" w:space="0" w:color="auto"/>
                        <w:right w:val="none" w:sz="0" w:space="0" w:color="auto"/>
                      </w:divBdr>
                      <w:divsChild>
                        <w:div w:id="378558187">
                          <w:marLeft w:val="0"/>
                          <w:marRight w:val="0"/>
                          <w:marTop w:val="0"/>
                          <w:marBottom w:val="0"/>
                          <w:divBdr>
                            <w:top w:val="none" w:sz="0" w:space="0" w:color="auto"/>
                            <w:left w:val="none" w:sz="0" w:space="0" w:color="auto"/>
                            <w:bottom w:val="none" w:sz="0" w:space="0" w:color="auto"/>
                            <w:right w:val="none" w:sz="0" w:space="0" w:color="auto"/>
                          </w:divBdr>
                          <w:divsChild>
                            <w:div w:id="1412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2D1D69C28D64AA02AF3B90E329BDE" ma:contentTypeVersion="18" ma:contentTypeDescription="Create a new document." ma:contentTypeScope="" ma:versionID="61dd9d31ad315fc073531d897fa276c0">
  <xsd:schema xmlns:xsd="http://www.w3.org/2001/XMLSchema" xmlns:xs="http://www.w3.org/2001/XMLSchema" xmlns:p="http://schemas.microsoft.com/office/2006/metadata/properties" xmlns:ns3="cc306181-20bc-4a44-891f-d885367c3a88" xmlns:ns4="d994dd56-2c05-45e8-92df-740eab27843a" targetNamespace="http://schemas.microsoft.com/office/2006/metadata/properties" ma:root="true" ma:fieldsID="c06cb61962e1ee16d15ea91d891cd6e2" ns3:_="" ns4:_="">
    <xsd:import namespace="cc306181-20bc-4a44-891f-d885367c3a88"/>
    <xsd:import namespace="d994dd56-2c05-45e8-92df-740eab2784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06181-20bc-4a44-891f-d885367c3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4dd56-2c05-45e8-92df-740eab2784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306181-20bc-4a44-891f-d885367c3a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E50E7-8038-4DB1-BFCA-F22F0855B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06181-20bc-4a44-891f-d885367c3a88"/>
    <ds:schemaRef ds:uri="d994dd56-2c05-45e8-92df-740eab278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0246F-7F86-4AEF-B36D-0C2B547D224D}">
  <ds:schemaRefs>
    <ds:schemaRef ds:uri="http://schemas.microsoft.com/sharepoint/v3/contenttype/forms"/>
  </ds:schemaRefs>
</ds:datastoreItem>
</file>

<file path=customXml/itemProps3.xml><?xml version="1.0" encoding="utf-8"?>
<ds:datastoreItem xmlns:ds="http://schemas.openxmlformats.org/officeDocument/2006/customXml" ds:itemID="{0FDC832A-EF3F-4DD0-98BA-AA81F56F495D}">
  <ds:schemaRef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purl.org/dc/terms/"/>
    <ds:schemaRef ds:uri="cc306181-20bc-4a44-891f-d885367c3a88"/>
    <ds:schemaRef ds:uri="http://schemas.openxmlformats.org/package/2006/metadata/core-properties"/>
    <ds:schemaRef ds:uri="d994dd56-2c05-45e8-92df-740eab27843a"/>
  </ds:schemaRefs>
</ds:datastoreItem>
</file>

<file path=customXml/itemProps4.xml><?xml version="1.0" encoding="utf-8"?>
<ds:datastoreItem xmlns:ds="http://schemas.openxmlformats.org/officeDocument/2006/customXml" ds:itemID="{7C342132-6D10-4B1D-901A-D43893F2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996</Words>
  <Characters>5683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Arnold, IS Business Consultant Information Governance Strategy</dc:creator>
  <cp:lastModifiedBy>A CowellClark</cp:lastModifiedBy>
  <cp:revision>2</cp:revision>
  <cp:lastPrinted>2024-09-12T16:30:00Z</cp:lastPrinted>
  <dcterms:created xsi:type="dcterms:W3CDTF">2024-09-23T16:13:00Z</dcterms:created>
  <dcterms:modified xsi:type="dcterms:W3CDTF">2024-09-23T16:13:00Z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0x010100A0C2D1D69C28D64AA02AF3B90E329BDE</vt:lpwstr>
  </property>
</Properties>
</file>